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97DE0" w14:textId="77777777" w:rsidR="009D191C" w:rsidRPr="00A960FD" w:rsidRDefault="009D191C" w:rsidP="004E276F">
      <w:pPr>
        <w:tabs>
          <w:tab w:val="left" w:pos="360"/>
        </w:tabs>
        <w:spacing w:after="0" w:line="240" w:lineRule="auto"/>
        <w:ind w:left="360" w:right="360"/>
        <w:jc w:val="center"/>
        <w:rPr>
          <w:rFonts w:cstheme="minorHAnsi"/>
          <w:b/>
          <w:bCs/>
          <w:i/>
          <w:iCs/>
          <w:sz w:val="24"/>
          <w:szCs w:val="24"/>
        </w:rPr>
      </w:pPr>
    </w:p>
    <w:p w14:paraId="5AFF0275" w14:textId="2323E0FE" w:rsidR="00BC7870" w:rsidRDefault="00BC7870" w:rsidP="00B13832">
      <w:pPr>
        <w:spacing w:after="240" w:line="240" w:lineRule="auto"/>
        <w:jc w:val="center"/>
        <w:rPr>
          <w:rFonts w:cstheme="minorHAnsi"/>
          <w:b/>
          <w:bCs/>
          <w:i/>
          <w:iCs/>
          <w:sz w:val="24"/>
          <w:szCs w:val="24"/>
        </w:rPr>
      </w:pPr>
      <w:r>
        <w:rPr>
          <w:rFonts w:cstheme="minorHAnsi"/>
          <w:b/>
          <w:bCs/>
          <w:sz w:val="24"/>
          <w:szCs w:val="24"/>
        </w:rPr>
        <w:t xml:space="preserve">Western Exploration </w:t>
      </w:r>
      <w:r w:rsidR="000223EA">
        <w:rPr>
          <w:rFonts w:cstheme="minorHAnsi"/>
          <w:b/>
          <w:bCs/>
          <w:sz w:val="24"/>
          <w:szCs w:val="24"/>
        </w:rPr>
        <w:t xml:space="preserve">Advances </w:t>
      </w:r>
      <w:r>
        <w:rPr>
          <w:rFonts w:cstheme="minorHAnsi"/>
          <w:b/>
          <w:bCs/>
          <w:sz w:val="24"/>
          <w:szCs w:val="24"/>
        </w:rPr>
        <w:t>Doby George Permitting</w:t>
      </w:r>
    </w:p>
    <w:p w14:paraId="4214494A" w14:textId="50334531" w:rsidR="00E03E50" w:rsidRPr="00BC7870" w:rsidRDefault="00E03E50" w:rsidP="00BC7870">
      <w:pPr>
        <w:spacing w:after="240" w:line="240" w:lineRule="auto"/>
        <w:jc w:val="center"/>
        <w:rPr>
          <w:rFonts w:cstheme="minorHAnsi"/>
          <w:b/>
          <w:bCs/>
          <w:i/>
          <w:iCs/>
          <w:sz w:val="24"/>
          <w:szCs w:val="24"/>
        </w:rPr>
      </w:pPr>
      <w:r>
        <w:rPr>
          <w:rFonts w:cstheme="minorHAnsi"/>
          <w:b/>
          <w:bCs/>
          <w:i/>
          <w:iCs/>
          <w:sz w:val="24"/>
          <w:szCs w:val="24"/>
        </w:rPr>
        <w:t>Phase I hydrology program complete; baseline study field work complete and baseline reports being finalized for submission to the U.S. Forest Service</w:t>
      </w:r>
    </w:p>
    <w:p w14:paraId="1C6A20BA" w14:textId="7EBCCE71" w:rsidR="00E03E50" w:rsidRPr="00B06CCE" w:rsidRDefault="00E03E50" w:rsidP="004652C6">
      <w:pPr>
        <w:spacing w:after="240" w:line="240" w:lineRule="auto"/>
        <w:jc w:val="both"/>
        <w:rPr>
          <w:rFonts w:cstheme="minorHAnsi"/>
          <w:sz w:val="24"/>
          <w:szCs w:val="24"/>
        </w:rPr>
      </w:pPr>
      <w:r>
        <w:rPr>
          <w:rFonts w:cstheme="minorHAnsi"/>
          <w:b/>
          <w:bCs/>
          <w:sz w:val="24"/>
          <w:szCs w:val="24"/>
        </w:rPr>
        <w:t>Reno, Nevada – October 2</w:t>
      </w:r>
      <w:r w:rsidR="001615A0">
        <w:rPr>
          <w:rFonts w:cstheme="minorHAnsi"/>
          <w:b/>
          <w:bCs/>
          <w:sz w:val="24"/>
          <w:szCs w:val="24"/>
        </w:rPr>
        <w:t>9</w:t>
      </w:r>
      <w:r>
        <w:rPr>
          <w:rFonts w:cstheme="minorHAnsi"/>
          <w:b/>
          <w:bCs/>
          <w:sz w:val="24"/>
          <w:szCs w:val="24"/>
        </w:rPr>
        <w:t>, 2026 –</w:t>
      </w:r>
      <w:r w:rsidRPr="00E03E50">
        <w:rPr>
          <w:rFonts w:cstheme="minorHAnsi"/>
          <w:sz w:val="24"/>
          <w:szCs w:val="24"/>
        </w:rPr>
        <w:t xml:space="preserve"> Western Exploration Inc. ("</w:t>
      </w:r>
      <w:r>
        <w:rPr>
          <w:rFonts w:cstheme="minorHAnsi"/>
          <w:b/>
          <w:bCs/>
          <w:sz w:val="24"/>
          <w:szCs w:val="24"/>
        </w:rPr>
        <w:t>Western</w:t>
      </w:r>
      <w:r w:rsidRPr="00E03E50">
        <w:rPr>
          <w:rFonts w:cstheme="minorHAnsi"/>
          <w:sz w:val="24"/>
          <w:szCs w:val="24"/>
        </w:rPr>
        <w:t>" or the "</w:t>
      </w:r>
      <w:r>
        <w:rPr>
          <w:rFonts w:cstheme="minorHAnsi"/>
          <w:b/>
          <w:bCs/>
          <w:sz w:val="24"/>
          <w:szCs w:val="24"/>
        </w:rPr>
        <w:t>Company</w:t>
      </w:r>
      <w:r w:rsidRPr="00E03E50">
        <w:rPr>
          <w:rFonts w:cstheme="minorHAnsi"/>
          <w:sz w:val="24"/>
          <w:szCs w:val="24"/>
        </w:rPr>
        <w:t xml:space="preserve">") (TSXV: WEX | OTCQX: WEXPF) is pleased to announce the completion of Phase I of the hydrogeologic investigation at its 100%-owned Doby George gold project, </w:t>
      </w:r>
      <w:r>
        <w:rPr>
          <w:rFonts w:cstheme="minorHAnsi"/>
          <w:sz w:val="24"/>
          <w:szCs w:val="24"/>
        </w:rPr>
        <w:t>part of the Company's Aura project in Elko County,</w:t>
      </w:r>
      <w:r w:rsidRPr="00E03E50">
        <w:rPr>
          <w:rFonts w:cstheme="minorHAnsi"/>
          <w:sz w:val="24"/>
          <w:szCs w:val="24"/>
        </w:rPr>
        <w:t xml:space="preserve"> northeastern Nevada (the "</w:t>
      </w:r>
      <w:r>
        <w:rPr>
          <w:rFonts w:cstheme="minorHAnsi"/>
          <w:b/>
          <w:bCs/>
          <w:sz w:val="24"/>
          <w:szCs w:val="24"/>
        </w:rPr>
        <w:t>Doby George Project</w:t>
      </w:r>
      <w:r w:rsidRPr="00E03E50">
        <w:rPr>
          <w:rFonts w:cstheme="minorHAnsi"/>
          <w:sz w:val="24"/>
          <w:szCs w:val="24"/>
        </w:rPr>
        <w:t>"), and the completion of all baseline study field work. These studies support the Company's Mine Plan of Operations ("</w:t>
      </w:r>
      <w:r>
        <w:rPr>
          <w:rFonts w:cstheme="minorHAnsi"/>
          <w:b/>
          <w:bCs/>
          <w:sz w:val="24"/>
          <w:szCs w:val="24"/>
        </w:rPr>
        <w:t>MPO</w:t>
      </w:r>
      <w:r w:rsidRPr="00E03E50">
        <w:rPr>
          <w:rFonts w:cstheme="minorHAnsi"/>
          <w:sz w:val="24"/>
          <w:szCs w:val="24"/>
        </w:rPr>
        <w:t xml:space="preserve">") for the Doby George Project, which was submitted to the </w:t>
      </w:r>
      <w:r>
        <w:rPr>
          <w:rFonts w:cstheme="minorHAnsi"/>
          <w:sz w:val="24"/>
          <w:szCs w:val="24"/>
        </w:rPr>
        <w:t>United States Forest Service ("</w:t>
      </w:r>
      <w:r w:rsidRPr="00E03E50">
        <w:rPr>
          <w:rFonts w:cstheme="minorHAnsi"/>
          <w:b/>
          <w:sz w:val="24"/>
          <w:szCs w:val="24"/>
        </w:rPr>
        <w:t>USFS</w:t>
      </w:r>
      <w:r>
        <w:rPr>
          <w:rFonts w:cstheme="minorHAnsi"/>
          <w:sz w:val="24"/>
          <w:szCs w:val="24"/>
        </w:rPr>
        <w:t>")</w:t>
      </w:r>
      <w:r w:rsidRPr="00E03E50">
        <w:rPr>
          <w:rFonts w:cstheme="minorHAnsi"/>
          <w:sz w:val="24"/>
          <w:szCs w:val="24"/>
        </w:rPr>
        <w:t xml:space="preserve"> in August 2026.</w:t>
      </w:r>
    </w:p>
    <w:p w14:paraId="6EF19968" w14:textId="784FD530" w:rsidR="009A7473" w:rsidRPr="004652C6" w:rsidRDefault="00B06CCE" w:rsidP="004652C6">
      <w:pPr>
        <w:keepNext/>
        <w:spacing w:after="240" w:line="240" w:lineRule="auto"/>
        <w:jc w:val="both"/>
        <w:rPr>
          <w:rFonts w:cstheme="minorHAnsi"/>
          <w:sz w:val="24"/>
          <w:szCs w:val="24"/>
        </w:rPr>
      </w:pPr>
      <w:r>
        <w:rPr>
          <w:rFonts w:cstheme="minorHAnsi"/>
          <w:sz w:val="24"/>
          <w:szCs w:val="24"/>
        </w:rPr>
        <w:t>Permitting process and field work at the Doby George Project include:</w:t>
      </w:r>
    </w:p>
    <w:p w14:paraId="60C19C0C" w14:textId="35C2BC45" w:rsidR="00E03E50" w:rsidRPr="00C35E5E" w:rsidRDefault="00E03E50" w:rsidP="00C35E5E">
      <w:pPr>
        <w:pStyle w:val="ListParagraph"/>
        <w:numPr>
          <w:ilvl w:val="0"/>
          <w:numId w:val="37"/>
        </w:numPr>
        <w:spacing w:after="120" w:line="240" w:lineRule="auto"/>
        <w:jc w:val="both"/>
        <w:rPr>
          <w:rFonts w:cstheme="minorHAnsi"/>
          <w:sz w:val="24"/>
          <w:szCs w:val="24"/>
        </w:rPr>
      </w:pPr>
      <w:r>
        <w:rPr>
          <w:rFonts w:cstheme="minorHAnsi"/>
          <w:b/>
          <w:sz w:val="24"/>
          <w:szCs w:val="24"/>
        </w:rPr>
        <w:t>Baseline studies:</w:t>
      </w:r>
      <w:r>
        <w:rPr>
          <w:rFonts w:cstheme="minorHAnsi"/>
          <w:sz w:val="24"/>
          <w:szCs w:val="24"/>
        </w:rPr>
        <w:t xml:space="preserve"> All field work for the baseline studies has been completed and reports are being finalized for submission to the USFS. Certain ongoing monitoring, modelling and reporting work continues, as summarized in Table 1 below.</w:t>
      </w:r>
    </w:p>
    <w:p w14:paraId="5AB0550F" w14:textId="419CD917" w:rsidR="00E03E50" w:rsidRPr="00C35E5E" w:rsidRDefault="00E03E50" w:rsidP="00C35E5E">
      <w:pPr>
        <w:pStyle w:val="ListParagraph"/>
        <w:numPr>
          <w:ilvl w:val="0"/>
          <w:numId w:val="37"/>
        </w:numPr>
        <w:spacing w:after="120" w:line="240" w:lineRule="auto"/>
        <w:jc w:val="both"/>
        <w:rPr>
          <w:rFonts w:cstheme="minorHAnsi"/>
          <w:sz w:val="24"/>
          <w:szCs w:val="24"/>
        </w:rPr>
      </w:pPr>
      <w:r>
        <w:rPr>
          <w:rFonts w:cstheme="minorHAnsi"/>
          <w:b/>
          <w:sz w:val="24"/>
          <w:szCs w:val="24"/>
        </w:rPr>
        <w:t>Hydrology:</w:t>
      </w:r>
      <w:r>
        <w:rPr>
          <w:rFonts w:cstheme="minorHAnsi"/>
          <w:sz w:val="24"/>
          <w:szCs w:val="24"/>
        </w:rPr>
        <w:t xml:space="preserve"> Phase I of the hydrogeologic investigation was completed, which is intended to support future development of the Doby George Project. Seven drill holes were completed and packer tested, and piezometers were installed to provide continual groundwater monitoring. The Phase I Baseline Hydrogeologic Report is in preparation, and a Phase II hydrogeologic investigation is planned for 2027.</w:t>
      </w:r>
    </w:p>
    <w:p w14:paraId="54B2D709" w14:textId="7B91C217" w:rsidR="00C35E5E" w:rsidRPr="00C35E5E" w:rsidRDefault="00C35E5E" w:rsidP="00C35E5E">
      <w:pPr>
        <w:pStyle w:val="ListParagraph"/>
        <w:numPr>
          <w:ilvl w:val="0"/>
          <w:numId w:val="37"/>
        </w:numPr>
        <w:spacing w:after="120" w:line="240" w:lineRule="auto"/>
        <w:jc w:val="both"/>
        <w:rPr>
          <w:rFonts w:cstheme="minorHAnsi"/>
          <w:sz w:val="24"/>
          <w:szCs w:val="24"/>
        </w:rPr>
      </w:pPr>
      <w:r>
        <w:rPr>
          <w:rFonts w:cstheme="minorHAnsi"/>
          <w:b/>
          <w:sz w:val="24"/>
          <w:szCs w:val="24"/>
        </w:rPr>
        <w:t>Air quality:</w:t>
      </w:r>
      <w:r>
        <w:rPr>
          <w:rFonts w:cstheme="minorHAnsi"/>
          <w:sz w:val="24"/>
          <w:szCs w:val="24"/>
        </w:rPr>
        <w:t xml:space="preserve"> Air quality and emissions studies are being </w:t>
      </w:r>
      <w:r w:rsidR="0093665E">
        <w:rPr>
          <w:rFonts w:cstheme="minorHAnsi"/>
          <w:sz w:val="24"/>
          <w:szCs w:val="24"/>
        </w:rPr>
        <w:t>finalized</w:t>
      </w:r>
      <w:r>
        <w:rPr>
          <w:rFonts w:cstheme="minorHAnsi"/>
          <w:sz w:val="24"/>
          <w:szCs w:val="24"/>
        </w:rPr>
        <w:t xml:space="preserve"> for submission to the USFS.</w:t>
      </w:r>
    </w:p>
    <w:p w14:paraId="6BF05D18" w14:textId="291825BC" w:rsidR="00C35E5E" w:rsidRPr="00C35E5E" w:rsidRDefault="00C35E5E" w:rsidP="00C35E5E">
      <w:pPr>
        <w:pStyle w:val="ListParagraph"/>
        <w:numPr>
          <w:ilvl w:val="0"/>
          <w:numId w:val="37"/>
        </w:numPr>
        <w:spacing w:after="120" w:line="240" w:lineRule="auto"/>
        <w:jc w:val="both"/>
        <w:rPr>
          <w:rFonts w:cstheme="minorHAnsi"/>
          <w:sz w:val="24"/>
          <w:szCs w:val="24"/>
        </w:rPr>
      </w:pPr>
      <w:r>
        <w:rPr>
          <w:rFonts w:cstheme="minorHAnsi"/>
          <w:b/>
          <w:sz w:val="24"/>
          <w:szCs w:val="24"/>
        </w:rPr>
        <w:t>Geochemistry and metallurgy:</w:t>
      </w:r>
      <w:r>
        <w:rPr>
          <w:rFonts w:cstheme="minorHAnsi"/>
          <w:sz w:val="24"/>
          <w:szCs w:val="24"/>
        </w:rPr>
        <w:t xml:space="preserve"> Material from the 2026 drill program, which includes infill drilling, is being used for geochemical characterization of mineralized material and waste rock, column leach test work and metallurgical test work.</w:t>
      </w:r>
      <w:r w:rsidR="00C84820" w:rsidRPr="00C84820">
        <w:rPr>
          <w:rFonts w:cstheme="minorHAnsi"/>
          <w:sz w:val="24"/>
          <w:szCs w:val="24"/>
        </w:rPr>
        <w:t xml:space="preserve"> </w:t>
      </w:r>
      <w:r w:rsidR="00C84820">
        <w:rPr>
          <w:rFonts w:cstheme="minorHAnsi"/>
          <w:sz w:val="24"/>
          <w:szCs w:val="24"/>
        </w:rPr>
        <w:t xml:space="preserve">Assay results from the 2026 drill program are </w:t>
      </w:r>
      <w:r w:rsidR="00597D31">
        <w:rPr>
          <w:rFonts w:cstheme="minorHAnsi"/>
          <w:sz w:val="24"/>
          <w:szCs w:val="24"/>
        </w:rPr>
        <w:t xml:space="preserve">pending and will be released as they are </w:t>
      </w:r>
      <w:r w:rsidR="00841E8F">
        <w:rPr>
          <w:rFonts w:cstheme="minorHAnsi"/>
          <w:sz w:val="24"/>
          <w:szCs w:val="24"/>
        </w:rPr>
        <w:t>received</w:t>
      </w:r>
      <w:r w:rsidR="00C84820">
        <w:rPr>
          <w:rFonts w:cstheme="minorHAnsi"/>
          <w:sz w:val="24"/>
          <w:szCs w:val="24"/>
        </w:rPr>
        <w:t>.</w:t>
      </w:r>
    </w:p>
    <w:p w14:paraId="7F303FFA" w14:textId="77777777" w:rsidR="00C35E5E" w:rsidRPr="00C35E5E" w:rsidRDefault="00C35E5E" w:rsidP="00C35E5E">
      <w:pPr>
        <w:pStyle w:val="ListParagraph"/>
        <w:numPr>
          <w:ilvl w:val="0"/>
          <w:numId w:val="37"/>
        </w:numPr>
        <w:spacing w:after="240" w:line="240" w:lineRule="auto"/>
        <w:jc w:val="both"/>
        <w:rPr>
          <w:rFonts w:cstheme="minorHAnsi"/>
          <w:sz w:val="24"/>
          <w:szCs w:val="24"/>
        </w:rPr>
      </w:pPr>
      <w:r>
        <w:rPr>
          <w:rFonts w:cstheme="minorHAnsi"/>
          <w:b/>
          <w:sz w:val="24"/>
          <w:szCs w:val="24"/>
        </w:rPr>
        <w:t>Electrical feasibility:</w:t>
      </w:r>
      <w:r>
        <w:rPr>
          <w:rFonts w:cstheme="minorHAnsi"/>
          <w:sz w:val="24"/>
          <w:szCs w:val="24"/>
        </w:rPr>
        <w:t xml:space="preserve"> The feasibility study being completed by Raft River Rural Electric Co-operative with respect to the Company's grid power, announced in June 2026 (the "</w:t>
      </w:r>
      <w:r>
        <w:rPr>
          <w:rFonts w:cstheme="minorHAnsi"/>
          <w:b/>
          <w:sz w:val="24"/>
          <w:szCs w:val="24"/>
        </w:rPr>
        <w:t>Power Study</w:t>
      </w:r>
      <w:r>
        <w:rPr>
          <w:rFonts w:cstheme="minorHAnsi"/>
          <w:sz w:val="24"/>
          <w:szCs w:val="24"/>
        </w:rPr>
        <w:t>"), is nearing completion and remains on schedule for mid-December 2026.</w:t>
      </w:r>
    </w:p>
    <w:p w14:paraId="3CD52BF8" w14:textId="101E6348" w:rsidR="00C35E5E" w:rsidRDefault="00B06CCE" w:rsidP="00B06CCE">
      <w:pPr>
        <w:spacing w:after="240" w:line="240" w:lineRule="auto"/>
        <w:jc w:val="both"/>
        <w:rPr>
          <w:rFonts w:cstheme="minorHAnsi"/>
          <w:sz w:val="24"/>
          <w:szCs w:val="24"/>
        </w:rPr>
      </w:pPr>
      <w:r>
        <w:rPr>
          <w:rFonts w:cstheme="minorHAnsi"/>
          <w:sz w:val="24"/>
          <w:szCs w:val="24"/>
        </w:rPr>
        <w:t>The MPO was submitted to the USFS, the lead permitting agency, in August 2026. Hydrogeological data is a key input to the Company's pre-feasibility study for the Doby George Project ("</w:t>
      </w:r>
      <w:r>
        <w:rPr>
          <w:rFonts w:cstheme="minorHAnsi"/>
          <w:b/>
          <w:sz w:val="24"/>
          <w:szCs w:val="24"/>
        </w:rPr>
        <w:t>PFS</w:t>
      </w:r>
      <w:r>
        <w:rPr>
          <w:rFonts w:cstheme="minorHAnsi"/>
          <w:sz w:val="24"/>
          <w:szCs w:val="24"/>
        </w:rPr>
        <w:t>") and to the USFS review of the MPO.</w:t>
      </w:r>
    </w:p>
    <w:p w14:paraId="0917E6B3" w14:textId="58E38EB6" w:rsidR="00AA69E7" w:rsidRDefault="00E03E50" w:rsidP="00B06CCE">
      <w:pPr>
        <w:spacing w:after="240" w:line="240" w:lineRule="auto"/>
        <w:jc w:val="both"/>
        <w:rPr>
          <w:rFonts w:cstheme="minorHAnsi"/>
          <w:sz w:val="24"/>
          <w:szCs w:val="24"/>
        </w:rPr>
      </w:pPr>
      <w:r w:rsidRPr="00E03E50">
        <w:rPr>
          <w:rFonts w:cstheme="minorHAnsi"/>
          <w:b/>
          <w:bCs/>
          <w:sz w:val="24"/>
          <w:szCs w:val="24"/>
        </w:rPr>
        <w:t>Darcy Marud, CEO of Western Exploration</w:t>
      </w:r>
      <w:r>
        <w:rPr>
          <w:rFonts w:cstheme="minorHAnsi"/>
          <w:sz w:val="24"/>
          <w:szCs w:val="24"/>
        </w:rPr>
        <w:t>, commented: "</w:t>
      </w:r>
      <w:r>
        <w:rPr>
          <w:rFonts w:cstheme="minorHAnsi"/>
          <w:i/>
          <w:sz w:val="24"/>
          <w:szCs w:val="24"/>
        </w:rPr>
        <w:t xml:space="preserve">This field season was built around what the permitting process requires. With Phase I hydrology complete and the </w:t>
      </w:r>
      <w:r>
        <w:rPr>
          <w:rFonts w:cstheme="minorHAnsi"/>
          <w:i/>
          <w:iCs/>
          <w:sz w:val="24"/>
          <w:szCs w:val="24"/>
        </w:rPr>
        <w:t>baseline study field work</w:t>
      </w:r>
      <w:r>
        <w:rPr>
          <w:rFonts w:cstheme="minorHAnsi"/>
          <w:i/>
          <w:sz w:val="24"/>
          <w:szCs w:val="24"/>
        </w:rPr>
        <w:t xml:space="preserve"> complete and </w:t>
      </w:r>
      <w:r>
        <w:rPr>
          <w:rFonts w:cstheme="minorHAnsi"/>
          <w:i/>
          <w:iCs/>
          <w:sz w:val="24"/>
          <w:szCs w:val="24"/>
        </w:rPr>
        <w:t xml:space="preserve">reports </w:t>
      </w:r>
      <w:r>
        <w:rPr>
          <w:rFonts w:cstheme="minorHAnsi"/>
          <w:i/>
          <w:sz w:val="24"/>
          <w:szCs w:val="24"/>
        </w:rPr>
        <w:t xml:space="preserve">being prepared for submittal to the Forest Service, the record supporting our Mine Plan of Operations continues to build, while drilling, geochemical and metallurgical work </w:t>
      </w:r>
      <w:r>
        <w:rPr>
          <w:rFonts w:cstheme="minorHAnsi"/>
          <w:i/>
          <w:sz w:val="24"/>
          <w:szCs w:val="24"/>
        </w:rPr>
        <w:lastRenderedPageBreak/>
        <w:t>advance in parallel. We continue to work closely with the Forest Service through the permitting process.</w:t>
      </w:r>
      <w:r>
        <w:rPr>
          <w:rFonts w:cstheme="minorHAnsi"/>
          <w:sz w:val="24"/>
          <w:szCs w:val="24"/>
        </w:rPr>
        <w:t>"</w:t>
      </w:r>
    </w:p>
    <w:p w14:paraId="64A6CB94" w14:textId="57252685" w:rsidR="00282EE0" w:rsidRDefault="007706BB" w:rsidP="00B06CCE">
      <w:pPr>
        <w:spacing w:after="240" w:line="240" w:lineRule="auto"/>
        <w:jc w:val="both"/>
        <w:rPr>
          <w:rFonts w:cstheme="minorHAnsi"/>
          <w:sz w:val="24"/>
          <w:szCs w:val="24"/>
        </w:rPr>
      </w:pPr>
      <w:r>
        <w:rPr>
          <w:rFonts w:cstheme="minorHAnsi"/>
          <w:sz w:val="24"/>
          <w:szCs w:val="24"/>
        </w:rPr>
        <w:t>Table 1</w:t>
      </w:r>
      <w:r w:rsidR="00311717">
        <w:rPr>
          <w:rFonts w:cstheme="minorHAnsi"/>
          <w:sz w:val="24"/>
          <w:szCs w:val="24"/>
        </w:rPr>
        <w:t>: Doby George Baseline</w:t>
      </w:r>
      <w:r>
        <w:rPr>
          <w:rFonts w:cstheme="minorHAnsi"/>
          <w:sz w:val="24"/>
          <w:szCs w:val="24"/>
        </w:rPr>
        <w:t xml:space="preserve"> Study Progress</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85"/>
        <w:gridCol w:w="4320"/>
        <w:gridCol w:w="3240"/>
      </w:tblGrid>
      <w:tr w:rsidR="00AA69E7" w14:paraId="597FD526" w14:textId="77777777" w:rsidTr="00AA69E7">
        <w:trPr>
          <w:tblHeader/>
        </w:trPr>
        <w:tc>
          <w:tcPr>
            <w:tcW w:w="1885" w:type="dxa"/>
            <w:shd w:val="clear" w:color="auto" w:fill="D9D9D9"/>
            <w:tcMar>
              <w:top w:w="60" w:type="dxa"/>
              <w:left w:w="100" w:type="dxa"/>
              <w:bottom w:w="60" w:type="dxa"/>
              <w:right w:w="100" w:type="dxa"/>
            </w:tcMar>
            <w:vAlign w:val="center"/>
          </w:tcPr>
          <w:p w14:paraId="786F2A7F" w14:textId="77777777" w:rsidR="00AA69E7" w:rsidRDefault="00AA69E7" w:rsidP="00134A4F">
            <w:r>
              <w:rPr>
                <w:b/>
                <w:bCs/>
              </w:rPr>
              <w:t>Resource Area</w:t>
            </w:r>
          </w:p>
        </w:tc>
        <w:tc>
          <w:tcPr>
            <w:tcW w:w="4320" w:type="dxa"/>
            <w:shd w:val="clear" w:color="auto" w:fill="D9D9D9"/>
            <w:tcMar>
              <w:top w:w="60" w:type="dxa"/>
              <w:left w:w="100" w:type="dxa"/>
              <w:bottom w:w="60" w:type="dxa"/>
              <w:right w:w="100" w:type="dxa"/>
            </w:tcMar>
            <w:vAlign w:val="center"/>
          </w:tcPr>
          <w:p w14:paraId="5BBE532E" w14:textId="77777777" w:rsidR="00AA69E7" w:rsidRDefault="00AA69E7" w:rsidP="00134A4F">
            <w:r>
              <w:rPr>
                <w:b/>
                <w:bCs/>
              </w:rPr>
              <w:t>Completed</w:t>
            </w:r>
          </w:p>
        </w:tc>
        <w:tc>
          <w:tcPr>
            <w:tcW w:w="3240" w:type="dxa"/>
            <w:shd w:val="clear" w:color="auto" w:fill="D9D9D9"/>
            <w:tcMar>
              <w:top w:w="60" w:type="dxa"/>
              <w:left w:w="100" w:type="dxa"/>
              <w:bottom w:w="60" w:type="dxa"/>
              <w:right w:w="100" w:type="dxa"/>
            </w:tcMar>
            <w:vAlign w:val="center"/>
          </w:tcPr>
          <w:p w14:paraId="2F89EE18" w14:textId="77777777" w:rsidR="00AA69E7" w:rsidRDefault="00AA69E7" w:rsidP="00134A4F">
            <w:r>
              <w:rPr>
                <w:b/>
                <w:bCs/>
              </w:rPr>
              <w:t>Ongoing</w:t>
            </w:r>
          </w:p>
        </w:tc>
      </w:tr>
      <w:tr w:rsidR="00AA69E7" w14:paraId="62A0CE72" w14:textId="77777777" w:rsidTr="00AA69E7">
        <w:trPr>
          <w:trHeight w:val="4484"/>
        </w:trPr>
        <w:tc>
          <w:tcPr>
            <w:tcW w:w="1885" w:type="dxa"/>
            <w:tcMar>
              <w:top w:w="60" w:type="dxa"/>
              <w:left w:w="100" w:type="dxa"/>
              <w:bottom w:w="60" w:type="dxa"/>
              <w:right w:w="100" w:type="dxa"/>
            </w:tcMar>
            <w:vAlign w:val="center"/>
          </w:tcPr>
          <w:p w14:paraId="1821091F" w14:textId="77777777" w:rsidR="00AA69E7" w:rsidRDefault="00AA69E7" w:rsidP="00134A4F">
            <w:r>
              <w:rPr>
                <w:b/>
                <w:bCs/>
              </w:rPr>
              <w:t>Biological Resources</w:t>
            </w:r>
          </w:p>
        </w:tc>
        <w:tc>
          <w:tcPr>
            <w:tcW w:w="4320" w:type="dxa"/>
            <w:tcMar>
              <w:top w:w="60" w:type="dxa"/>
              <w:left w:w="100" w:type="dxa"/>
              <w:bottom w:w="60" w:type="dxa"/>
              <w:right w:w="100" w:type="dxa"/>
            </w:tcMar>
            <w:vAlign w:val="center"/>
          </w:tcPr>
          <w:p w14:paraId="46679678" w14:textId="77777777" w:rsidR="00AA69E7" w:rsidRDefault="00AA69E7" w:rsidP="00134A4F">
            <w:pPr>
              <w:spacing w:after="60"/>
            </w:pPr>
            <w:r>
              <w:t>American Goshawk Surveys</w:t>
            </w:r>
          </w:p>
          <w:p w14:paraId="0F0459E1" w14:textId="77777777" w:rsidR="00AA69E7" w:rsidRDefault="00AA69E7" w:rsidP="00134A4F">
            <w:pPr>
              <w:spacing w:after="60"/>
            </w:pPr>
            <w:r>
              <w:t>Small Mammal Surveys</w:t>
            </w:r>
          </w:p>
          <w:p w14:paraId="34F8CFE0" w14:textId="77777777" w:rsidR="00AA69E7" w:rsidRDefault="00AA69E7" w:rsidP="00134A4F">
            <w:pPr>
              <w:spacing w:after="60"/>
            </w:pPr>
            <w:r>
              <w:t>Acoustic Bat Surveys</w:t>
            </w:r>
          </w:p>
          <w:p w14:paraId="484B949F" w14:textId="77777777" w:rsidR="00AA69E7" w:rsidRDefault="00AA69E7" w:rsidP="00134A4F">
            <w:pPr>
              <w:spacing w:after="60"/>
            </w:pPr>
            <w:r>
              <w:t>Pygmy Rabbit Surveys</w:t>
            </w:r>
          </w:p>
          <w:p w14:paraId="16918635" w14:textId="77777777" w:rsidR="00AA69E7" w:rsidRDefault="00AA69E7" w:rsidP="00134A4F">
            <w:pPr>
              <w:spacing w:after="60"/>
            </w:pPr>
            <w:r>
              <w:t>Raptor Surveys (aerial and ground based)</w:t>
            </w:r>
          </w:p>
          <w:p w14:paraId="67D66F0D" w14:textId="77777777" w:rsidR="00AA69E7" w:rsidRDefault="00AA69E7" w:rsidP="00134A4F">
            <w:pPr>
              <w:spacing w:after="60"/>
            </w:pPr>
            <w:r>
              <w:t>Special Status Plants and Noxious Weed Surveys</w:t>
            </w:r>
          </w:p>
          <w:p w14:paraId="286F30B9" w14:textId="77777777" w:rsidR="00AA69E7" w:rsidRDefault="00AA69E7" w:rsidP="00134A4F">
            <w:pPr>
              <w:spacing w:after="60"/>
            </w:pPr>
            <w:r>
              <w:t>Soil and Ecological Site Description Surveys</w:t>
            </w:r>
          </w:p>
          <w:p w14:paraId="4CACEB5E" w14:textId="77777777" w:rsidR="00AA69E7" w:rsidRDefault="00AA69E7" w:rsidP="00134A4F">
            <w:pPr>
              <w:spacing w:after="60"/>
            </w:pPr>
            <w:r>
              <w:t>Flammulated Owl Surveys</w:t>
            </w:r>
          </w:p>
          <w:p w14:paraId="20CE5DE7" w14:textId="77777777" w:rsidR="00AA69E7" w:rsidRDefault="00AA69E7" w:rsidP="00134A4F">
            <w:pPr>
              <w:spacing w:after="60"/>
            </w:pPr>
            <w:r>
              <w:t>Burrowing Owl Surveys</w:t>
            </w:r>
          </w:p>
          <w:p w14:paraId="27F517D9" w14:textId="77777777" w:rsidR="00AA69E7" w:rsidRDefault="00AA69E7" w:rsidP="00134A4F">
            <w:pPr>
              <w:spacing w:after="60"/>
            </w:pPr>
            <w:r>
              <w:t>Greater Sage-Grouse Lek surveys</w:t>
            </w:r>
          </w:p>
          <w:p w14:paraId="00A0AAC4" w14:textId="77777777" w:rsidR="00AA69E7" w:rsidRDefault="00AA69E7" w:rsidP="00134A4F">
            <w:pPr>
              <w:spacing w:after="60"/>
            </w:pPr>
            <w:r>
              <w:t>Migratory Bird Surveys</w:t>
            </w:r>
          </w:p>
          <w:p w14:paraId="2EC3C6E5" w14:textId="77777777" w:rsidR="00AA69E7" w:rsidRDefault="00AA69E7" w:rsidP="00134A4F">
            <w:pPr>
              <w:spacing w:after="60"/>
            </w:pPr>
            <w:r>
              <w:t xml:space="preserve">Amphibian and </w:t>
            </w:r>
            <w:proofErr w:type="spellStart"/>
            <w:r>
              <w:t>Springsnail</w:t>
            </w:r>
            <w:proofErr w:type="spellEnd"/>
            <w:r>
              <w:t xml:space="preserve"> Surveys</w:t>
            </w:r>
          </w:p>
          <w:p w14:paraId="72D0EF1C" w14:textId="3B25C865" w:rsidR="00AA69E7" w:rsidRDefault="00AA69E7" w:rsidP="00AA69E7">
            <w:r>
              <w:t>Three-toed Woodpecker Surveys</w:t>
            </w:r>
          </w:p>
        </w:tc>
        <w:tc>
          <w:tcPr>
            <w:tcW w:w="3240" w:type="dxa"/>
            <w:tcMar>
              <w:top w:w="60" w:type="dxa"/>
              <w:left w:w="100" w:type="dxa"/>
              <w:bottom w:w="60" w:type="dxa"/>
              <w:right w:w="100" w:type="dxa"/>
            </w:tcMar>
            <w:vAlign w:val="center"/>
          </w:tcPr>
          <w:p w14:paraId="5471E9D6" w14:textId="77777777" w:rsidR="00AA69E7" w:rsidRDefault="00AA69E7" w:rsidP="001615A0">
            <w:pPr>
              <w:spacing w:after="0"/>
            </w:pPr>
            <w:r>
              <w:t>Biological Baseline Surveys Results Report</w:t>
            </w:r>
          </w:p>
          <w:p w14:paraId="3124A51D" w14:textId="77777777" w:rsidR="00AA69E7" w:rsidRDefault="00AA69E7" w:rsidP="001615A0">
            <w:pPr>
              <w:spacing w:after="0"/>
            </w:pPr>
          </w:p>
          <w:p w14:paraId="65DF125D" w14:textId="77777777" w:rsidR="00AA69E7" w:rsidRDefault="00AA69E7" w:rsidP="001615A0">
            <w:pPr>
              <w:spacing w:after="0"/>
            </w:pPr>
            <w:r>
              <w:t>Soil Baseline Survey Results Report</w:t>
            </w:r>
          </w:p>
          <w:p w14:paraId="39D068E8" w14:textId="77777777" w:rsidR="00AA69E7" w:rsidRDefault="00AA69E7" w:rsidP="001615A0">
            <w:pPr>
              <w:spacing w:after="0"/>
            </w:pPr>
          </w:p>
          <w:p w14:paraId="0B554E12" w14:textId="77777777" w:rsidR="00AA69E7" w:rsidRDefault="00AA69E7" w:rsidP="001615A0">
            <w:pPr>
              <w:spacing w:after="0"/>
            </w:pPr>
            <w:r>
              <w:t>Vegetation Baseline Survey Results Report</w:t>
            </w:r>
          </w:p>
        </w:tc>
      </w:tr>
      <w:tr w:rsidR="00AA69E7" w14:paraId="523500D1" w14:textId="77777777" w:rsidTr="00AA69E7">
        <w:trPr>
          <w:trHeight w:val="668"/>
        </w:trPr>
        <w:tc>
          <w:tcPr>
            <w:tcW w:w="1885" w:type="dxa"/>
            <w:tcMar>
              <w:top w:w="60" w:type="dxa"/>
              <w:left w:w="100" w:type="dxa"/>
              <w:bottom w:w="60" w:type="dxa"/>
              <w:right w:w="100" w:type="dxa"/>
            </w:tcMar>
            <w:vAlign w:val="center"/>
          </w:tcPr>
          <w:p w14:paraId="4E1CD74F" w14:textId="77777777" w:rsidR="00AA69E7" w:rsidRDefault="00AA69E7" w:rsidP="00134A4F">
            <w:r>
              <w:rPr>
                <w:b/>
                <w:bCs/>
              </w:rPr>
              <w:t>Cultural Resources</w:t>
            </w:r>
          </w:p>
        </w:tc>
        <w:tc>
          <w:tcPr>
            <w:tcW w:w="4320" w:type="dxa"/>
            <w:tcMar>
              <w:top w:w="60" w:type="dxa"/>
              <w:left w:w="100" w:type="dxa"/>
              <w:bottom w:w="60" w:type="dxa"/>
              <w:right w:w="100" w:type="dxa"/>
            </w:tcMar>
            <w:vAlign w:val="center"/>
          </w:tcPr>
          <w:p w14:paraId="437CE11E" w14:textId="77777777" w:rsidR="00AA69E7" w:rsidRDefault="00AA69E7" w:rsidP="004879F4">
            <w:pPr>
              <w:spacing w:after="60" w:line="276" w:lineRule="auto"/>
            </w:pPr>
            <w:r>
              <w:t>Class 1 Desktop Cultural Resources Review</w:t>
            </w:r>
          </w:p>
          <w:p w14:paraId="28D5198F" w14:textId="77777777" w:rsidR="00AA69E7" w:rsidRDefault="00AA69E7" w:rsidP="004879F4">
            <w:pPr>
              <w:spacing w:after="60" w:line="276" w:lineRule="auto"/>
            </w:pPr>
            <w:r>
              <w:t>Class 3 Cultural Resources Survey</w:t>
            </w:r>
          </w:p>
          <w:p w14:paraId="12425EBD" w14:textId="77777777" w:rsidR="00AA69E7" w:rsidRDefault="00AA69E7" w:rsidP="004879F4">
            <w:pPr>
              <w:spacing w:after="60" w:line="276" w:lineRule="auto"/>
            </w:pPr>
            <w:r>
              <w:t>ARPA Permit Submittal</w:t>
            </w:r>
          </w:p>
          <w:p w14:paraId="333E674B" w14:textId="77777777" w:rsidR="00AA69E7" w:rsidRDefault="00AA69E7" w:rsidP="004879F4">
            <w:pPr>
              <w:spacing w:after="0" w:line="276" w:lineRule="auto"/>
            </w:pPr>
            <w:r>
              <w:t>Tribal Notification Letters Submitted</w:t>
            </w:r>
          </w:p>
          <w:p w14:paraId="17393FB2" w14:textId="7C0D7A70" w:rsidR="004879F4" w:rsidRDefault="004879F4" w:rsidP="004879F4">
            <w:pPr>
              <w:spacing w:after="0" w:line="276" w:lineRule="auto"/>
            </w:pPr>
            <w:r>
              <w:t>Class 3 Cultural Resources Report</w:t>
            </w:r>
          </w:p>
        </w:tc>
        <w:tc>
          <w:tcPr>
            <w:tcW w:w="3240" w:type="dxa"/>
            <w:tcMar>
              <w:top w:w="60" w:type="dxa"/>
              <w:left w:w="100" w:type="dxa"/>
              <w:bottom w:w="60" w:type="dxa"/>
              <w:right w:w="100" w:type="dxa"/>
            </w:tcMar>
            <w:vAlign w:val="center"/>
          </w:tcPr>
          <w:p w14:paraId="0A4D4AA3" w14:textId="3FCC0159" w:rsidR="00AA69E7" w:rsidRDefault="004879F4" w:rsidP="00134A4F">
            <w:r>
              <w:t>N/A</w:t>
            </w:r>
          </w:p>
        </w:tc>
      </w:tr>
      <w:tr w:rsidR="00AA69E7" w14:paraId="511621D9" w14:textId="77777777" w:rsidTr="00AA69E7">
        <w:trPr>
          <w:trHeight w:val="2108"/>
        </w:trPr>
        <w:tc>
          <w:tcPr>
            <w:tcW w:w="1885" w:type="dxa"/>
            <w:tcMar>
              <w:top w:w="60" w:type="dxa"/>
              <w:left w:w="100" w:type="dxa"/>
              <w:bottom w:w="60" w:type="dxa"/>
              <w:right w:w="100" w:type="dxa"/>
            </w:tcMar>
            <w:vAlign w:val="center"/>
          </w:tcPr>
          <w:p w14:paraId="566D3534" w14:textId="77777777" w:rsidR="00AA69E7" w:rsidRDefault="00AA69E7" w:rsidP="00134A4F">
            <w:r>
              <w:rPr>
                <w:b/>
                <w:bCs/>
              </w:rPr>
              <w:t>Paleontological Resources</w:t>
            </w:r>
          </w:p>
        </w:tc>
        <w:tc>
          <w:tcPr>
            <w:tcW w:w="4320" w:type="dxa"/>
            <w:tcMar>
              <w:top w:w="60" w:type="dxa"/>
              <w:left w:w="100" w:type="dxa"/>
              <w:bottom w:w="60" w:type="dxa"/>
              <w:right w:w="100" w:type="dxa"/>
            </w:tcMar>
            <w:vAlign w:val="center"/>
          </w:tcPr>
          <w:p w14:paraId="369EFF95" w14:textId="77777777" w:rsidR="00AA69E7" w:rsidRDefault="00AA69E7" w:rsidP="00134A4F">
            <w:pPr>
              <w:spacing w:after="60"/>
            </w:pPr>
            <w:r>
              <w:t>Desktop Review and Historical Records Search</w:t>
            </w:r>
          </w:p>
          <w:p w14:paraId="0CBFBBFE" w14:textId="77777777" w:rsidR="00AA69E7" w:rsidRDefault="00AA69E7" w:rsidP="004879F4">
            <w:pPr>
              <w:spacing w:after="0"/>
            </w:pPr>
            <w:r>
              <w:t>Desktop Review Results Report Submitted to USFS</w:t>
            </w:r>
          </w:p>
          <w:p w14:paraId="329BAFFA" w14:textId="77777777" w:rsidR="00AA69E7" w:rsidRDefault="00AA69E7" w:rsidP="004879F4">
            <w:pPr>
              <w:spacing w:after="0"/>
            </w:pPr>
            <w:r>
              <w:t>Paleontological Surveys</w:t>
            </w:r>
          </w:p>
          <w:p w14:paraId="19BAE636" w14:textId="77777777" w:rsidR="00AA69E7" w:rsidRDefault="00AA69E7" w:rsidP="00134A4F">
            <w:r>
              <w:t>Paleontological Surveys Results Report submitted to USFS</w:t>
            </w:r>
          </w:p>
        </w:tc>
        <w:tc>
          <w:tcPr>
            <w:tcW w:w="3240" w:type="dxa"/>
            <w:tcMar>
              <w:top w:w="60" w:type="dxa"/>
              <w:left w:w="100" w:type="dxa"/>
              <w:bottom w:w="60" w:type="dxa"/>
              <w:right w:w="100" w:type="dxa"/>
            </w:tcMar>
            <w:vAlign w:val="center"/>
          </w:tcPr>
          <w:p w14:paraId="321E57AC" w14:textId="77777777" w:rsidR="00AA69E7" w:rsidRDefault="00AA69E7" w:rsidP="00134A4F">
            <w:r>
              <w:t>N/A</w:t>
            </w:r>
          </w:p>
        </w:tc>
      </w:tr>
      <w:tr w:rsidR="00AA69E7" w14:paraId="25C20ED6" w14:textId="77777777" w:rsidTr="00AA69E7">
        <w:tc>
          <w:tcPr>
            <w:tcW w:w="1885" w:type="dxa"/>
            <w:tcMar>
              <w:top w:w="60" w:type="dxa"/>
              <w:left w:w="100" w:type="dxa"/>
              <w:bottom w:w="60" w:type="dxa"/>
              <w:right w:w="100" w:type="dxa"/>
            </w:tcMar>
            <w:vAlign w:val="center"/>
          </w:tcPr>
          <w:p w14:paraId="591D5CCB" w14:textId="77777777" w:rsidR="00AA69E7" w:rsidRDefault="00AA69E7" w:rsidP="00134A4F">
            <w:r>
              <w:rPr>
                <w:b/>
                <w:bCs/>
              </w:rPr>
              <w:t>Air Quality Resources</w:t>
            </w:r>
          </w:p>
        </w:tc>
        <w:tc>
          <w:tcPr>
            <w:tcW w:w="4320" w:type="dxa"/>
            <w:tcMar>
              <w:top w:w="60" w:type="dxa"/>
              <w:left w:w="100" w:type="dxa"/>
              <w:bottom w:w="60" w:type="dxa"/>
              <w:right w:w="100" w:type="dxa"/>
            </w:tcMar>
            <w:vAlign w:val="center"/>
          </w:tcPr>
          <w:p w14:paraId="567DC537" w14:textId="77777777" w:rsidR="00AA69E7" w:rsidRDefault="00AA69E7" w:rsidP="00134A4F">
            <w:r>
              <w:t>Initial Review of Project and Operations Data</w:t>
            </w:r>
          </w:p>
          <w:p w14:paraId="3203B748" w14:textId="77777777" w:rsidR="00AA69E7" w:rsidRDefault="00AA69E7" w:rsidP="00134A4F">
            <w:pPr>
              <w:spacing w:after="60"/>
            </w:pPr>
            <w:r>
              <w:t>Development of Air Quality Baseline Report</w:t>
            </w:r>
          </w:p>
        </w:tc>
        <w:tc>
          <w:tcPr>
            <w:tcW w:w="3240" w:type="dxa"/>
            <w:tcMar>
              <w:top w:w="60" w:type="dxa"/>
              <w:left w:w="100" w:type="dxa"/>
              <w:bottom w:w="60" w:type="dxa"/>
              <w:right w:w="100" w:type="dxa"/>
            </w:tcMar>
            <w:vAlign w:val="center"/>
          </w:tcPr>
          <w:p w14:paraId="539B1900" w14:textId="77777777" w:rsidR="00AA69E7" w:rsidRDefault="00AA69E7" w:rsidP="00134A4F">
            <w:pPr>
              <w:spacing w:after="60"/>
            </w:pPr>
            <w:r>
              <w:t>Emissions Inventory Development</w:t>
            </w:r>
          </w:p>
          <w:p w14:paraId="001AF8A9" w14:textId="77777777" w:rsidR="00AA69E7" w:rsidRDefault="00AA69E7" w:rsidP="00134A4F">
            <w:r>
              <w:t>Dispersion Monitoring</w:t>
            </w:r>
          </w:p>
        </w:tc>
      </w:tr>
      <w:tr w:rsidR="00AA69E7" w14:paraId="5FFE81B7" w14:textId="77777777" w:rsidTr="00AA69E7">
        <w:tc>
          <w:tcPr>
            <w:tcW w:w="1885" w:type="dxa"/>
            <w:tcMar>
              <w:top w:w="60" w:type="dxa"/>
              <w:left w:w="100" w:type="dxa"/>
              <w:bottom w:w="60" w:type="dxa"/>
              <w:right w:w="100" w:type="dxa"/>
            </w:tcMar>
            <w:vAlign w:val="center"/>
          </w:tcPr>
          <w:p w14:paraId="20BFFE5D" w14:textId="77777777" w:rsidR="00AA69E7" w:rsidRDefault="00AA69E7" w:rsidP="00134A4F">
            <w:r>
              <w:rPr>
                <w:b/>
                <w:bCs/>
              </w:rPr>
              <w:lastRenderedPageBreak/>
              <w:t>Hydrogeology Resources</w:t>
            </w:r>
          </w:p>
        </w:tc>
        <w:tc>
          <w:tcPr>
            <w:tcW w:w="4320" w:type="dxa"/>
            <w:tcMar>
              <w:top w:w="60" w:type="dxa"/>
              <w:left w:w="100" w:type="dxa"/>
              <w:bottom w:w="60" w:type="dxa"/>
              <w:right w:w="100" w:type="dxa"/>
            </w:tcMar>
            <w:vAlign w:val="center"/>
          </w:tcPr>
          <w:p w14:paraId="008DF6C1" w14:textId="77777777" w:rsidR="00AA69E7" w:rsidRDefault="00AA69E7" w:rsidP="00134A4F">
            <w:pPr>
              <w:spacing w:after="60"/>
            </w:pPr>
            <w:r>
              <w:t>Hydrogeology Data Review and Gap Analysis</w:t>
            </w:r>
          </w:p>
          <w:p w14:paraId="613FE9BB" w14:textId="77777777" w:rsidR="00AA69E7" w:rsidRDefault="00AA69E7" w:rsidP="00134A4F">
            <w:pPr>
              <w:spacing w:after="60"/>
            </w:pPr>
            <w:r>
              <w:t>Hydrogeology Resources Investigation and Baseline Monitoring Work Plan</w:t>
            </w:r>
          </w:p>
          <w:p w14:paraId="6BF69DCC" w14:textId="77777777" w:rsidR="00AA69E7" w:rsidRDefault="00AA69E7" w:rsidP="00134A4F">
            <w:pPr>
              <w:spacing w:after="60"/>
            </w:pPr>
            <w:r>
              <w:t>Surface and Groundwater Data Review and Gap Analysis</w:t>
            </w:r>
          </w:p>
          <w:p w14:paraId="6F1091DE" w14:textId="77777777" w:rsidR="00AA69E7" w:rsidRPr="00F36498" w:rsidRDefault="00AA69E7" w:rsidP="00134A4F">
            <w:pPr>
              <w:spacing w:line="276" w:lineRule="auto"/>
              <w:rPr>
                <w:sz w:val="16"/>
                <w:szCs w:val="16"/>
              </w:rPr>
            </w:pPr>
            <w:r>
              <w:t xml:space="preserve">Q2 &amp; Q3 Spring &amp; Stream Monitoring and Sampling </w:t>
            </w:r>
          </w:p>
          <w:p w14:paraId="76935068" w14:textId="52EC5783" w:rsidR="00AA69E7" w:rsidRDefault="00AA69E7" w:rsidP="00AA69E7">
            <w:pPr>
              <w:spacing w:after="60"/>
            </w:pPr>
            <w:r>
              <w:t>Phase I Hydrogeologic Investigation (summer 2026)</w:t>
            </w:r>
          </w:p>
        </w:tc>
        <w:tc>
          <w:tcPr>
            <w:tcW w:w="3240" w:type="dxa"/>
            <w:tcMar>
              <w:top w:w="60" w:type="dxa"/>
              <w:left w:w="100" w:type="dxa"/>
              <w:bottom w:w="60" w:type="dxa"/>
              <w:right w:w="100" w:type="dxa"/>
            </w:tcMar>
            <w:vAlign w:val="center"/>
          </w:tcPr>
          <w:p w14:paraId="0C809461" w14:textId="77777777" w:rsidR="00AA69E7" w:rsidRDefault="00AA69E7" w:rsidP="00134A4F">
            <w:pPr>
              <w:spacing w:after="60"/>
            </w:pPr>
            <w:r>
              <w:t>Phase I Baseline Hydrogeologic Report</w:t>
            </w:r>
          </w:p>
          <w:p w14:paraId="3BC9049C" w14:textId="77777777" w:rsidR="00AA69E7" w:rsidRDefault="00AA69E7" w:rsidP="00134A4F">
            <w:pPr>
              <w:spacing w:after="60"/>
            </w:pPr>
            <w:r>
              <w:t>Q4 spring and stream monitoring and sampling</w:t>
            </w:r>
          </w:p>
          <w:p w14:paraId="29C2B76E" w14:textId="77777777" w:rsidR="00AA69E7" w:rsidRDefault="00AA69E7" w:rsidP="00134A4F">
            <w:pPr>
              <w:spacing w:after="60"/>
            </w:pPr>
            <w:r>
              <w:t>Phase II Hydrogeologic Investigation (2027)</w:t>
            </w:r>
          </w:p>
          <w:p w14:paraId="2E03B9E0" w14:textId="77777777" w:rsidR="00AA69E7" w:rsidRDefault="00AA69E7" w:rsidP="00134A4F">
            <w:r>
              <w:t>Phase II Baseline Hydrogeologic Report</w:t>
            </w:r>
          </w:p>
        </w:tc>
      </w:tr>
      <w:tr w:rsidR="00AA69E7" w14:paraId="3EB948A5" w14:textId="77777777" w:rsidTr="00AA69E7">
        <w:tc>
          <w:tcPr>
            <w:tcW w:w="1885" w:type="dxa"/>
            <w:tcMar>
              <w:top w:w="60" w:type="dxa"/>
              <w:left w:w="100" w:type="dxa"/>
              <w:bottom w:w="60" w:type="dxa"/>
              <w:right w:w="100" w:type="dxa"/>
            </w:tcMar>
            <w:vAlign w:val="center"/>
          </w:tcPr>
          <w:p w14:paraId="41C3444A" w14:textId="77777777" w:rsidR="00AA69E7" w:rsidRDefault="00AA69E7" w:rsidP="00134A4F">
            <w:r>
              <w:rPr>
                <w:b/>
                <w:bCs/>
              </w:rPr>
              <w:t>Geochemistry Resources</w:t>
            </w:r>
          </w:p>
        </w:tc>
        <w:tc>
          <w:tcPr>
            <w:tcW w:w="4320" w:type="dxa"/>
            <w:tcMar>
              <w:top w:w="60" w:type="dxa"/>
              <w:left w:w="100" w:type="dxa"/>
              <w:bottom w:w="60" w:type="dxa"/>
              <w:right w:w="100" w:type="dxa"/>
            </w:tcMar>
            <w:vAlign w:val="center"/>
          </w:tcPr>
          <w:p w14:paraId="7B1F998E" w14:textId="77777777" w:rsidR="00AA69E7" w:rsidRDefault="00AA69E7" w:rsidP="00134A4F">
            <w:pPr>
              <w:spacing w:after="60"/>
            </w:pPr>
            <w:r>
              <w:t>Geochemistry Data Review and Gap Analysis</w:t>
            </w:r>
          </w:p>
          <w:p w14:paraId="62C6487B" w14:textId="34389BEE" w:rsidR="00311717" w:rsidRDefault="00AA69E7" w:rsidP="00DB3CD6">
            <w:pPr>
              <w:spacing w:after="0" w:line="360" w:lineRule="auto"/>
            </w:pPr>
            <w:r>
              <w:t>Geochemical Characterization Work Plan</w:t>
            </w:r>
          </w:p>
          <w:p w14:paraId="3254D57F" w14:textId="52C49836" w:rsidR="00AA69E7" w:rsidRDefault="00AA69E7" w:rsidP="00DB3CD6">
            <w:pPr>
              <w:spacing w:after="0"/>
            </w:pPr>
            <w:r>
              <w:t xml:space="preserve">Finalize </w:t>
            </w:r>
            <w:r w:rsidR="00311717">
              <w:t>c</w:t>
            </w:r>
            <w:r>
              <w:t xml:space="preserve">ollection and </w:t>
            </w:r>
            <w:r w:rsidR="00311717">
              <w:t>s</w:t>
            </w:r>
            <w:r>
              <w:t xml:space="preserve">ubmission of </w:t>
            </w:r>
            <w:r w:rsidR="00311717">
              <w:t>s</w:t>
            </w:r>
            <w:r>
              <w:t xml:space="preserve">amples for </w:t>
            </w:r>
            <w:r w:rsidR="00311717">
              <w:t>s</w:t>
            </w:r>
            <w:r>
              <w:t xml:space="preserve">tatic and </w:t>
            </w:r>
            <w:r w:rsidR="00311717">
              <w:t>k</w:t>
            </w:r>
            <w:r>
              <w:t xml:space="preserve">inetic </w:t>
            </w:r>
            <w:r w:rsidR="00311717">
              <w:t>c</w:t>
            </w:r>
            <w:r>
              <w:t>haracterization</w:t>
            </w:r>
          </w:p>
        </w:tc>
        <w:tc>
          <w:tcPr>
            <w:tcW w:w="3240" w:type="dxa"/>
            <w:tcMar>
              <w:top w:w="60" w:type="dxa"/>
              <w:left w:w="100" w:type="dxa"/>
              <w:bottom w:w="60" w:type="dxa"/>
              <w:right w:w="100" w:type="dxa"/>
            </w:tcMar>
            <w:vAlign w:val="center"/>
          </w:tcPr>
          <w:p w14:paraId="7B8F2CDE" w14:textId="77777777" w:rsidR="00AA69E7" w:rsidRDefault="00AA69E7" w:rsidP="00134A4F">
            <w:r>
              <w:t>Geochemical Characterization Summary Report</w:t>
            </w:r>
          </w:p>
        </w:tc>
      </w:tr>
      <w:tr w:rsidR="00AA69E7" w14:paraId="58D51C76" w14:textId="77777777" w:rsidTr="00AA69E7">
        <w:tc>
          <w:tcPr>
            <w:tcW w:w="1885" w:type="dxa"/>
            <w:tcMar>
              <w:top w:w="60" w:type="dxa"/>
              <w:left w:w="100" w:type="dxa"/>
              <w:bottom w:w="60" w:type="dxa"/>
              <w:right w:w="100" w:type="dxa"/>
            </w:tcMar>
            <w:vAlign w:val="center"/>
          </w:tcPr>
          <w:p w14:paraId="6524AF7E" w14:textId="77777777" w:rsidR="00AA69E7" w:rsidRDefault="00AA69E7" w:rsidP="00134A4F">
            <w:r>
              <w:rPr>
                <w:b/>
                <w:bCs/>
              </w:rPr>
              <w:t>Noise Resources</w:t>
            </w:r>
          </w:p>
        </w:tc>
        <w:tc>
          <w:tcPr>
            <w:tcW w:w="4320" w:type="dxa"/>
            <w:tcMar>
              <w:top w:w="60" w:type="dxa"/>
              <w:left w:w="100" w:type="dxa"/>
              <w:bottom w:w="60" w:type="dxa"/>
              <w:right w:w="100" w:type="dxa"/>
            </w:tcMar>
            <w:vAlign w:val="center"/>
          </w:tcPr>
          <w:p w14:paraId="4B6D4E8A" w14:textId="77777777" w:rsidR="00AA69E7" w:rsidRDefault="00AA69E7" w:rsidP="00134A4F">
            <w:r>
              <w:t>Baseline Noise Monitoring</w:t>
            </w:r>
          </w:p>
        </w:tc>
        <w:tc>
          <w:tcPr>
            <w:tcW w:w="3240" w:type="dxa"/>
            <w:tcMar>
              <w:top w:w="60" w:type="dxa"/>
              <w:left w:w="100" w:type="dxa"/>
              <w:bottom w:w="60" w:type="dxa"/>
              <w:right w:w="100" w:type="dxa"/>
            </w:tcMar>
            <w:vAlign w:val="center"/>
          </w:tcPr>
          <w:p w14:paraId="3B6ACED6" w14:textId="77777777" w:rsidR="00AA69E7" w:rsidRDefault="00AA69E7" w:rsidP="00134A4F">
            <w:pPr>
              <w:spacing w:after="60"/>
            </w:pPr>
            <w:r>
              <w:t>Noise Modeling Predictions</w:t>
            </w:r>
          </w:p>
          <w:p w14:paraId="0B8DC542" w14:textId="77777777" w:rsidR="00AA69E7" w:rsidRDefault="00AA69E7" w:rsidP="00134A4F">
            <w:r>
              <w:t>Technical Noise Report</w:t>
            </w:r>
          </w:p>
        </w:tc>
      </w:tr>
      <w:tr w:rsidR="00AA69E7" w14:paraId="46F2756B" w14:textId="77777777" w:rsidTr="00AA69E7">
        <w:tc>
          <w:tcPr>
            <w:tcW w:w="1885" w:type="dxa"/>
            <w:tcMar>
              <w:top w:w="60" w:type="dxa"/>
              <w:left w:w="100" w:type="dxa"/>
              <w:bottom w:w="60" w:type="dxa"/>
              <w:right w:w="100" w:type="dxa"/>
            </w:tcMar>
            <w:vAlign w:val="center"/>
          </w:tcPr>
          <w:p w14:paraId="02B1D082" w14:textId="77777777" w:rsidR="00AA69E7" w:rsidRDefault="00AA69E7" w:rsidP="00134A4F">
            <w:r>
              <w:rPr>
                <w:b/>
                <w:bCs/>
              </w:rPr>
              <w:t>Aquatic Resources</w:t>
            </w:r>
          </w:p>
        </w:tc>
        <w:tc>
          <w:tcPr>
            <w:tcW w:w="4320" w:type="dxa"/>
            <w:tcMar>
              <w:top w:w="60" w:type="dxa"/>
              <w:left w:w="100" w:type="dxa"/>
              <w:bottom w:w="60" w:type="dxa"/>
              <w:right w:w="100" w:type="dxa"/>
            </w:tcMar>
            <w:vAlign w:val="center"/>
          </w:tcPr>
          <w:p w14:paraId="7A98C571" w14:textId="77777777" w:rsidR="00AA69E7" w:rsidRDefault="00AA69E7" w:rsidP="001615A0">
            <w:pPr>
              <w:spacing w:after="0" w:line="360" w:lineRule="auto"/>
            </w:pPr>
            <w:r>
              <w:t>Desktop Aquatic Resources Inventory</w:t>
            </w:r>
          </w:p>
          <w:p w14:paraId="51DB856D" w14:textId="77777777" w:rsidR="00AA69E7" w:rsidRDefault="00AA69E7" w:rsidP="001615A0">
            <w:pPr>
              <w:spacing w:after="0" w:line="360" w:lineRule="auto"/>
            </w:pPr>
            <w:r>
              <w:t>Aquatic Resource Surveys</w:t>
            </w:r>
          </w:p>
          <w:p w14:paraId="5ACB1F88" w14:textId="0801FF35" w:rsidR="00AA69E7" w:rsidRDefault="00AA69E7" w:rsidP="001615A0">
            <w:pPr>
              <w:spacing w:after="0" w:line="276" w:lineRule="auto"/>
            </w:pPr>
            <w:r>
              <w:t>Aquatic Resources Delineation Report</w:t>
            </w:r>
          </w:p>
        </w:tc>
        <w:tc>
          <w:tcPr>
            <w:tcW w:w="3240" w:type="dxa"/>
            <w:tcMar>
              <w:top w:w="60" w:type="dxa"/>
              <w:left w:w="100" w:type="dxa"/>
              <w:bottom w:w="60" w:type="dxa"/>
              <w:right w:w="100" w:type="dxa"/>
            </w:tcMar>
            <w:vAlign w:val="center"/>
          </w:tcPr>
          <w:p w14:paraId="3D858956" w14:textId="189FC1D2" w:rsidR="00AA69E7" w:rsidRDefault="00AA69E7" w:rsidP="00134A4F">
            <w:r>
              <w:t xml:space="preserve">United States Army Corps of Engineers </w:t>
            </w:r>
            <w:r w:rsidR="00311717">
              <w:t>p</w:t>
            </w:r>
            <w:r>
              <w:t xml:space="preserve">ermitting </w:t>
            </w:r>
            <w:r w:rsidR="00311717">
              <w:t>c</w:t>
            </w:r>
            <w:r>
              <w:t>oordination</w:t>
            </w:r>
          </w:p>
        </w:tc>
      </w:tr>
    </w:tbl>
    <w:p w14:paraId="140996FA" w14:textId="77777777" w:rsidR="00757DB4" w:rsidRDefault="00757DB4" w:rsidP="00B06CCE">
      <w:pPr>
        <w:spacing w:after="240" w:line="240" w:lineRule="auto"/>
        <w:jc w:val="both"/>
        <w:rPr>
          <w:rFonts w:cstheme="minorHAnsi"/>
          <w:sz w:val="24"/>
          <w:szCs w:val="24"/>
        </w:rPr>
      </w:pPr>
    </w:p>
    <w:p w14:paraId="4A7543D0" w14:textId="3E90D8C6" w:rsidR="00065E4C" w:rsidRDefault="00937311" w:rsidP="00E86EA5">
      <w:pPr>
        <w:keepNext/>
        <w:spacing w:after="240" w:line="240" w:lineRule="auto"/>
        <w:jc w:val="both"/>
        <w:rPr>
          <w:rFonts w:cstheme="minorHAnsi"/>
          <w:b/>
          <w:bCs/>
          <w:sz w:val="24"/>
          <w:szCs w:val="24"/>
        </w:rPr>
      </w:pPr>
      <w:r>
        <w:rPr>
          <w:rFonts w:cstheme="minorHAnsi"/>
          <w:b/>
          <w:bCs/>
          <w:noProof/>
          <w:sz w:val="24"/>
          <w:szCs w:val="24"/>
        </w:rPr>
        <w:lastRenderedPageBreak/>
        <w:drawing>
          <wp:inline distT="0" distB="0" distL="0" distR="0" wp14:anchorId="33314CD5" wp14:editId="6F9C77FA">
            <wp:extent cx="6045256" cy="4546657"/>
            <wp:effectExtent l="0" t="0" r="0" b="6350"/>
            <wp:docPr id="530988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84919" cy="4576487"/>
                    </a:xfrm>
                    <a:prstGeom prst="rect">
                      <a:avLst/>
                    </a:prstGeom>
                    <a:noFill/>
                  </pic:spPr>
                </pic:pic>
              </a:graphicData>
            </a:graphic>
          </wp:inline>
        </w:drawing>
      </w:r>
    </w:p>
    <w:p w14:paraId="3A3C4294" w14:textId="505AE7A3" w:rsidR="00E86EA5" w:rsidRPr="00B06CCE" w:rsidRDefault="00E86EA5" w:rsidP="00E86EA5">
      <w:pPr>
        <w:keepNext/>
        <w:spacing w:after="240" w:line="240" w:lineRule="auto"/>
        <w:jc w:val="both"/>
        <w:rPr>
          <w:rFonts w:cstheme="minorHAnsi"/>
          <w:sz w:val="24"/>
          <w:szCs w:val="24"/>
        </w:rPr>
      </w:pPr>
      <w:r>
        <w:rPr>
          <w:rFonts w:cstheme="minorHAnsi"/>
          <w:b/>
          <w:bCs/>
          <w:sz w:val="24"/>
          <w:szCs w:val="24"/>
        </w:rPr>
        <w:t>About Western Exploration Inc.</w:t>
      </w:r>
    </w:p>
    <w:p w14:paraId="0FAF061F" w14:textId="3F72EC65" w:rsidR="00E03E50" w:rsidRPr="00B06CCE" w:rsidRDefault="00E03E50" w:rsidP="000B0E9B">
      <w:pPr>
        <w:spacing w:after="240" w:line="240" w:lineRule="auto"/>
        <w:jc w:val="both"/>
        <w:rPr>
          <w:rFonts w:cstheme="minorHAnsi"/>
          <w:sz w:val="24"/>
          <w:szCs w:val="24"/>
        </w:rPr>
      </w:pPr>
      <w:r>
        <w:rPr>
          <w:rFonts w:cstheme="minorHAnsi"/>
          <w:sz w:val="24"/>
          <w:szCs w:val="24"/>
        </w:rPr>
        <w:t xml:space="preserve">Western Exploration is a Nevada-focused gold and silver developer advancing its 100%-owned Aura project, located approximately 120 </w:t>
      </w:r>
      <w:proofErr w:type="spellStart"/>
      <w:r>
        <w:rPr>
          <w:rFonts w:cstheme="minorHAnsi"/>
          <w:sz w:val="24"/>
          <w:szCs w:val="24"/>
        </w:rPr>
        <w:t>kilometres</w:t>
      </w:r>
      <w:proofErr w:type="spellEnd"/>
      <w:r>
        <w:rPr>
          <w:rFonts w:cstheme="minorHAnsi"/>
          <w:sz w:val="24"/>
          <w:szCs w:val="24"/>
        </w:rPr>
        <w:t xml:space="preserve"> north of Elko, Nevada. The Aura project hosts two primary assets: Doby George, a near-surface oxide heap-leach project that is the subject of the PEA (as defined below); and the Gravel Creek / Wood Gulch corridor, a high-grade gold-silver epithermal system. </w:t>
      </w:r>
      <w:r w:rsidRPr="008865C5">
        <w:rPr>
          <w:rFonts w:cstheme="minorHAnsi"/>
          <w:sz w:val="24"/>
          <w:szCs w:val="24"/>
        </w:rPr>
        <w:t xml:space="preserve">For more information, please refer to the </w:t>
      </w:r>
      <w:r>
        <w:rPr>
          <w:rFonts w:cstheme="minorHAnsi"/>
          <w:sz w:val="24"/>
          <w:szCs w:val="24"/>
        </w:rPr>
        <w:t>PEA Technical Report</w:t>
      </w:r>
      <w:r w:rsidRPr="008865C5">
        <w:rPr>
          <w:rFonts w:cstheme="minorHAnsi"/>
          <w:sz w:val="24"/>
          <w:szCs w:val="24"/>
        </w:rPr>
        <w:t xml:space="preserve"> (as defined below)</w:t>
      </w:r>
      <w:r>
        <w:rPr>
          <w:rFonts w:cstheme="minorHAnsi"/>
          <w:sz w:val="24"/>
          <w:szCs w:val="24"/>
        </w:rPr>
        <w:t>. Western trades on the TSX Venture Exchange under the symbol WEX and on the OTCQX Market under the symbol WEXPF.</w:t>
      </w:r>
    </w:p>
    <w:p w14:paraId="1BDDA0E9" w14:textId="77777777" w:rsidR="00E86EA5" w:rsidRPr="00B06CCE" w:rsidRDefault="00E86EA5" w:rsidP="00E86EA5">
      <w:pPr>
        <w:spacing w:after="240" w:line="240" w:lineRule="auto"/>
        <w:jc w:val="both"/>
        <w:rPr>
          <w:rFonts w:cstheme="minorHAnsi"/>
          <w:sz w:val="24"/>
          <w:szCs w:val="24"/>
        </w:rPr>
      </w:pPr>
      <w:r>
        <w:rPr>
          <w:rFonts w:cstheme="minorHAnsi"/>
          <w:b/>
          <w:bCs/>
          <w:sz w:val="24"/>
          <w:szCs w:val="24"/>
        </w:rPr>
        <w:t>For further information, please contact:</w:t>
      </w:r>
    </w:p>
    <w:p w14:paraId="2072B8CD" w14:textId="77777777" w:rsidR="00E86EA5" w:rsidRPr="00A960FD" w:rsidRDefault="00E86EA5" w:rsidP="00E86EA5">
      <w:pPr>
        <w:spacing w:after="0" w:line="240" w:lineRule="auto"/>
        <w:rPr>
          <w:rFonts w:cstheme="minorHAnsi"/>
          <w:sz w:val="24"/>
          <w:szCs w:val="24"/>
        </w:rPr>
      </w:pPr>
      <w:r>
        <w:rPr>
          <w:rFonts w:cstheme="minorHAnsi"/>
          <w:sz w:val="24"/>
          <w:szCs w:val="24"/>
        </w:rPr>
        <w:t>Darcy Marud</w:t>
      </w:r>
    </w:p>
    <w:p w14:paraId="5EFC0D50" w14:textId="36E3ACB1" w:rsidR="00E03E50" w:rsidRPr="00A960FD" w:rsidRDefault="00E03E50" w:rsidP="00E86EA5">
      <w:pPr>
        <w:spacing w:after="0" w:line="240" w:lineRule="auto"/>
        <w:rPr>
          <w:rFonts w:cstheme="minorHAnsi"/>
          <w:sz w:val="24"/>
          <w:szCs w:val="24"/>
        </w:rPr>
      </w:pPr>
      <w:r>
        <w:rPr>
          <w:rFonts w:cstheme="minorHAnsi"/>
          <w:sz w:val="24"/>
          <w:szCs w:val="24"/>
        </w:rPr>
        <w:t>Chief Executive Officer</w:t>
      </w:r>
    </w:p>
    <w:p w14:paraId="64E257FA" w14:textId="77777777" w:rsidR="00E86EA5" w:rsidRPr="00A960FD" w:rsidRDefault="00E86EA5" w:rsidP="00E86EA5">
      <w:pPr>
        <w:spacing w:after="0" w:line="240" w:lineRule="auto"/>
        <w:rPr>
          <w:rFonts w:cstheme="minorHAnsi"/>
          <w:sz w:val="24"/>
          <w:szCs w:val="24"/>
        </w:rPr>
      </w:pPr>
      <w:r>
        <w:rPr>
          <w:rFonts w:cstheme="minorHAnsi"/>
          <w:sz w:val="24"/>
          <w:szCs w:val="24"/>
        </w:rPr>
        <w:t>Telephone: (775) 329-8119</w:t>
      </w:r>
    </w:p>
    <w:p w14:paraId="5A55EBF5" w14:textId="77777777" w:rsidR="00E86EA5" w:rsidRPr="00A960FD" w:rsidRDefault="00E86EA5" w:rsidP="00E86EA5">
      <w:pPr>
        <w:spacing w:line="240" w:lineRule="auto"/>
        <w:rPr>
          <w:rFonts w:cstheme="minorHAnsi"/>
          <w:sz w:val="24"/>
          <w:szCs w:val="24"/>
        </w:rPr>
      </w:pPr>
      <w:r>
        <w:rPr>
          <w:rFonts w:cstheme="minorHAnsi"/>
          <w:sz w:val="24"/>
          <w:szCs w:val="24"/>
        </w:rPr>
        <w:t xml:space="preserve">Email: </w:t>
      </w:r>
      <w:hyperlink r:id="rId12" w:history="1">
        <w:r>
          <w:rPr>
            <w:rStyle w:val="Hyperlink"/>
            <w:rFonts w:cstheme="minorHAnsi"/>
            <w:color w:val="auto"/>
            <w:sz w:val="24"/>
            <w:szCs w:val="24"/>
          </w:rPr>
          <w:t>dmarud@westernexploration.com</w:t>
        </w:r>
      </w:hyperlink>
      <w:r>
        <w:rPr>
          <w:rFonts w:cstheme="minorHAnsi"/>
          <w:sz w:val="24"/>
          <w:szCs w:val="24"/>
        </w:rPr>
        <w:t xml:space="preserve"> </w:t>
      </w:r>
    </w:p>
    <w:p w14:paraId="2A73DEEF" w14:textId="2CE6BDE6" w:rsidR="00E86EA5" w:rsidRPr="00E03E50" w:rsidRDefault="00E86EA5" w:rsidP="00E03E50">
      <w:pPr>
        <w:spacing w:line="240" w:lineRule="auto"/>
      </w:pPr>
      <w:r>
        <w:rPr>
          <w:rFonts w:cstheme="minorHAnsi"/>
          <w:sz w:val="24"/>
          <w:szCs w:val="24"/>
        </w:rPr>
        <w:t>Nichole Cowles</w:t>
      </w:r>
      <w:hyperlink r:id="rId13" w:history="1"/>
      <w:r>
        <w:br/>
      </w:r>
      <w:r>
        <w:rPr>
          <w:rFonts w:cstheme="minorHAnsi"/>
          <w:sz w:val="24"/>
          <w:szCs w:val="24"/>
        </w:rPr>
        <w:t>Investor Relations</w:t>
      </w:r>
      <w:r>
        <w:br/>
      </w:r>
      <w:r>
        <w:rPr>
          <w:rFonts w:cstheme="minorHAnsi"/>
          <w:sz w:val="24"/>
          <w:szCs w:val="24"/>
        </w:rPr>
        <w:lastRenderedPageBreak/>
        <w:t>Telephone: (775) 240-4172</w:t>
      </w:r>
      <w:r>
        <w:br/>
      </w:r>
      <w:r>
        <w:rPr>
          <w:rFonts w:cstheme="minorHAnsi"/>
          <w:sz w:val="24"/>
          <w:szCs w:val="24"/>
        </w:rPr>
        <w:t xml:space="preserve">Email: </w:t>
      </w:r>
      <w:r>
        <w:rPr>
          <w:rFonts w:cstheme="minorHAnsi"/>
          <w:sz w:val="24"/>
          <w:szCs w:val="24"/>
          <w:u w:val="single"/>
        </w:rPr>
        <w:t>nicholecowles@westernexploration.com</w:t>
      </w:r>
    </w:p>
    <w:p w14:paraId="736BBDB2" w14:textId="71FA4D49" w:rsidR="008865C5" w:rsidRDefault="00A952BD" w:rsidP="008865C5">
      <w:pPr>
        <w:spacing w:after="240" w:line="240" w:lineRule="auto"/>
        <w:jc w:val="both"/>
        <w:rPr>
          <w:rFonts w:cstheme="minorHAnsi"/>
          <w:b/>
          <w:bCs/>
          <w:sz w:val="24"/>
          <w:szCs w:val="24"/>
        </w:rPr>
      </w:pPr>
      <w:r>
        <w:rPr>
          <w:rFonts w:cstheme="minorHAnsi"/>
          <w:b/>
          <w:bCs/>
          <w:sz w:val="24"/>
          <w:szCs w:val="24"/>
        </w:rPr>
        <w:t xml:space="preserve">Scientific and </w:t>
      </w:r>
      <w:r w:rsidR="00C35E5E">
        <w:rPr>
          <w:rFonts w:cstheme="minorHAnsi"/>
          <w:b/>
          <w:bCs/>
          <w:sz w:val="24"/>
          <w:szCs w:val="24"/>
        </w:rPr>
        <w:t>Technical Information</w:t>
      </w:r>
    </w:p>
    <w:p w14:paraId="0FDB1466" w14:textId="5764DF83" w:rsidR="00E03E50" w:rsidRPr="008865C5" w:rsidRDefault="00E03E50" w:rsidP="00C35E5E">
      <w:pPr>
        <w:spacing w:after="240" w:line="240" w:lineRule="auto"/>
        <w:jc w:val="both"/>
        <w:rPr>
          <w:rFonts w:cstheme="minorHAnsi"/>
          <w:sz w:val="24"/>
          <w:szCs w:val="24"/>
        </w:rPr>
      </w:pPr>
      <w:r>
        <w:rPr>
          <w:rFonts w:cstheme="minorHAnsi"/>
          <w:sz w:val="24"/>
          <w:szCs w:val="24"/>
        </w:rPr>
        <w:t xml:space="preserve">The scientific and technical information in this news release has been reviewed and approved by Mark Hawksworth, General Manager of Western's Aura project, a "qualified person" within the meaning of National Instrument 43-101 – </w:t>
      </w:r>
      <w:r>
        <w:rPr>
          <w:rFonts w:cstheme="minorHAnsi"/>
          <w:i/>
          <w:sz w:val="24"/>
          <w:szCs w:val="24"/>
        </w:rPr>
        <w:t>Standards of Disclosure for Mineral Projects</w:t>
      </w:r>
      <w:r>
        <w:rPr>
          <w:rFonts w:cstheme="minorHAnsi"/>
          <w:sz w:val="24"/>
          <w:szCs w:val="24"/>
        </w:rPr>
        <w:t xml:space="preserve"> ("</w:t>
      </w:r>
      <w:r>
        <w:rPr>
          <w:rFonts w:cstheme="minorHAnsi"/>
          <w:b/>
          <w:sz w:val="24"/>
          <w:szCs w:val="24"/>
        </w:rPr>
        <w:t>NI 43-101</w:t>
      </w:r>
      <w:r>
        <w:rPr>
          <w:rFonts w:cstheme="minorHAnsi"/>
          <w:sz w:val="24"/>
          <w:szCs w:val="24"/>
        </w:rPr>
        <w:t>"), who is not independent of the Company.</w:t>
      </w:r>
    </w:p>
    <w:p w14:paraId="7565A165" w14:textId="4817DF6F" w:rsidR="00C35E5E" w:rsidRDefault="00C35E5E" w:rsidP="00C35E5E">
      <w:pPr>
        <w:spacing w:after="240" w:line="240" w:lineRule="auto"/>
        <w:jc w:val="both"/>
        <w:rPr>
          <w:rFonts w:cstheme="minorHAnsi"/>
          <w:sz w:val="24"/>
          <w:szCs w:val="24"/>
        </w:rPr>
      </w:pPr>
      <w:r>
        <w:rPr>
          <w:rFonts w:cstheme="minorHAnsi"/>
          <w:sz w:val="24"/>
          <w:szCs w:val="24"/>
        </w:rPr>
        <w:t>The Company's 2025 Preliminary Economic Assessment for the Doby George Project (the "</w:t>
      </w:r>
      <w:r>
        <w:rPr>
          <w:rFonts w:cstheme="minorHAnsi"/>
          <w:b/>
          <w:sz w:val="24"/>
          <w:szCs w:val="24"/>
        </w:rPr>
        <w:t>PEA</w:t>
      </w:r>
      <w:r>
        <w:rPr>
          <w:rFonts w:cstheme="minorHAnsi"/>
          <w:sz w:val="24"/>
          <w:szCs w:val="24"/>
        </w:rPr>
        <w:t>") is preliminary in nature and includes inferred mineral resources that are considered too speculative geologically to have the economic considerations applied to them that would enable them to be categorized as mineral reserves, and there is no certainty that the PEA will be realized. Mineral resources that are not mineral reserves do not have demonstrated economic viability.</w:t>
      </w:r>
    </w:p>
    <w:p w14:paraId="1FF96032" w14:textId="583A037C" w:rsidR="00BC7870" w:rsidRPr="00C35E5E" w:rsidRDefault="00BC7870" w:rsidP="00C35E5E">
      <w:pPr>
        <w:spacing w:after="240" w:line="240" w:lineRule="auto"/>
        <w:jc w:val="both"/>
        <w:rPr>
          <w:rFonts w:cstheme="minorHAnsi"/>
          <w:sz w:val="24"/>
          <w:szCs w:val="24"/>
        </w:rPr>
      </w:pPr>
      <w:r w:rsidRPr="00C35E5E">
        <w:rPr>
          <w:rFonts w:cstheme="minorHAnsi"/>
          <w:sz w:val="24"/>
          <w:szCs w:val="24"/>
        </w:rPr>
        <w:t xml:space="preserve">The PEA is more particularly described in the technical report entitled </w:t>
      </w:r>
      <w:r w:rsidRPr="00E03E50">
        <w:rPr>
          <w:rFonts w:cstheme="minorHAnsi"/>
          <w:i/>
          <w:iCs/>
          <w:sz w:val="24"/>
          <w:szCs w:val="24"/>
        </w:rPr>
        <w:t>"Preliminary Economic Assessment of the Doby George Deposits and Updated Resource Estimate for the Gravel Creek Gold-Silver Deposits, Aura Gold-Silver Project, Elko County, Nevada"</w:t>
      </w:r>
      <w:r w:rsidRPr="00C35E5E">
        <w:rPr>
          <w:rFonts w:cstheme="minorHAnsi"/>
          <w:sz w:val="24"/>
          <w:szCs w:val="24"/>
        </w:rPr>
        <w:t xml:space="preserve"> dated October 1, 2025 (with an effective date of June 17, 2025), which was prepared for Western</w:t>
      </w:r>
      <w:r>
        <w:rPr>
          <w:rFonts w:cstheme="minorHAnsi"/>
          <w:sz w:val="24"/>
          <w:szCs w:val="24"/>
        </w:rPr>
        <w:t xml:space="preserve"> and is available on SEDAR+ (</w:t>
      </w:r>
      <w:hyperlink r:id="rId14" w:history="1">
        <w:r w:rsidRPr="001843E9">
          <w:rPr>
            <w:rStyle w:val="Hyperlink"/>
            <w:rFonts w:cstheme="minorHAnsi"/>
            <w:sz w:val="24"/>
            <w:szCs w:val="24"/>
          </w:rPr>
          <w:t>www.sedarplus.ca</w:t>
        </w:r>
      </w:hyperlink>
      <w:r>
        <w:rPr>
          <w:rFonts w:cstheme="minorHAnsi"/>
          <w:sz w:val="24"/>
          <w:szCs w:val="24"/>
        </w:rPr>
        <w:t>) under Western's issuer profile (the "</w:t>
      </w:r>
      <w:r w:rsidRPr="00BC7870">
        <w:rPr>
          <w:rFonts w:cstheme="minorHAnsi"/>
          <w:b/>
          <w:bCs/>
          <w:sz w:val="24"/>
          <w:szCs w:val="24"/>
        </w:rPr>
        <w:t>PEA Technical Report</w:t>
      </w:r>
      <w:r>
        <w:rPr>
          <w:rFonts w:cstheme="minorHAnsi"/>
          <w:sz w:val="24"/>
          <w:szCs w:val="24"/>
        </w:rPr>
        <w:t>").</w:t>
      </w:r>
    </w:p>
    <w:p w14:paraId="057C2F65" w14:textId="48076FA5" w:rsidR="00BC7870" w:rsidRDefault="00BC7870" w:rsidP="00C35E5E">
      <w:pPr>
        <w:spacing w:after="240" w:line="240" w:lineRule="auto"/>
        <w:jc w:val="both"/>
        <w:rPr>
          <w:rFonts w:cstheme="minorHAnsi"/>
          <w:sz w:val="24"/>
          <w:szCs w:val="24"/>
        </w:rPr>
      </w:pPr>
      <w:r>
        <w:rPr>
          <w:rFonts w:cstheme="minorHAnsi"/>
          <w:sz w:val="24"/>
          <w:szCs w:val="24"/>
        </w:rPr>
        <w:t>The PEA was prepared by independent representatives of Kappes, Cassiday &amp; Associates ("</w:t>
      </w:r>
      <w:r>
        <w:rPr>
          <w:rFonts w:cstheme="minorHAnsi"/>
          <w:b/>
          <w:sz w:val="24"/>
          <w:szCs w:val="24"/>
        </w:rPr>
        <w:t>KCA</w:t>
      </w:r>
      <w:r>
        <w:rPr>
          <w:rFonts w:cstheme="minorHAnsi"/>
          <w:sz w:val="24"/>
          <w:szCs w:val="24"/>
        </w:rPr>
        <w:t>") and RESPEC Company LLC ("</w:t>
      </w:r>
      <w:r>
        <w:rPr>
          <w:rFonts w:cstheme="minorHAnsi"/>
          <w:b/>
          <w:sz w:val="24"/>
          <w:szCs w:val="24"/>
        </w:rPr>
        <w:t>RESPEC</w:t>
      </w:r>
      <w:r>
        <w:rPr>
          <w:rFonts w:cstheme="minorHAnsi"/>
          <w:sz w:val="24"/>
          <w:szCs w:val="24"/>
        </w:rPr>
        <w:t>"), each of whom is a "qualified person" within the meaning of NI 43-101 and independent of Western for purposes of Section 1.5 of NI 43-101. At the effective date of the PEA, each qualified person certified that, to the best of their knowledge, information, and belief, the parts of the PEA for which they were responsible contain all scientific and technical information required to be disclosed to make the PEA not misleading. The affiliation and areas of responsibility for each qualified person involved in preparing the PEA are provided below:</w:t>
      </w:r>
    </w:p>
    <w:p w14:paraId="79134723" w14:textId="77777777" w:rsidR="00C35E5E" w:rsidRPr="00C35E5E" w:rsidRDefault="00C35E5E" w:rsidP="00C35E5E">
      <w:pPr>
        <w:pStyle w:val="ListParagraph"/>
        <w:numPr>
          <w:ilvl w:val="0"/>
          <w:numId w:val="37"/>
        </w:numPr>
        <w:spacing w:after="240" w:line="240" w:lineRule="auto"/>
        <w:jc w:val="both"/>
        <w:rPr>
          <w:rFonts w:cstheme="minorHAnsi"/>
          <w:sz w:val="24"/>
          <w:szCs w:val="24"/>
        </w:rPr>
      </w:pPr>
      <w:r w:rsidRPr="00C35E5E">
        <w:rPr>
          <w:rFonts w:cstheme="minorHAnsi"/>
          <w:sz w:val="24"/>
          <w:szCs w:val="24"/>
        </w:rPr>
        <w:t>Travis Manning, P.E. of KCA – processing design and costs, metallurgy, recovery and cash flow;</w:t>
      </w:r>
    </w:p>
    <w:p w14:paraId="19486F5A" w14:textId="3FC89638" w:rsidR="00E03E50" w:rsidRPr="00C35E5E" w:rsidRDefault="00E03E50" w:rsidP="00C35E5E">
      <w:pPr>
        <w:pStyle w:val="ListParagraph"/>
        <w:numPr>
          <w:ilvl w:val="0"/>
          <w:numId w:val="37"/>
        </w:numPr>
        <w:spacing w:after="240" w:line="240" w:lineRule="auto"/>
        <w:jc w:val="both"/>
        <w:rPr>
          <w:rFonts w:cstheme="minorHAnsi"/>
          <w:sz w:val="24"/>
          <w:szCs w:val="24"/>
        </w:rPr>
      </w:pPr>
      <w:r w:rsidRPr="00C35E5E">
        <w:rPr>
          <w:rFonts w:cstheme="minorHAnsi"/>
          <w:sz w:val="24"/>
          <w:szCs w:val="24"/>
        </w:rPr>
        <w:t xml:space="preserve">Michael S. Lindholm, C.P.G. of RESPEC – geology, database and mineral resource estimate; and </w:t>
      </w:r>
    </w:p>
    <w:p w14:paraId="2A4490E2" w14:textId="77777777" w:rsidR="00C35E5E" w:rsidRPr="00C35E5E" w:rsidRDefault="00C35E5E" w:rsidP="00C35E5E">
      <w:pPr>
        <w:pStyle w:val="ListParagraph"/>
        <w:numPr>
          <w:ilvl w:val="0"/>
          <w:numId w:val="37"/>
        </w:numPr>
        <w:spacing w:after="240" w:line="240" w:lineRule="auto"/>
        <w:jc w:val="both"/>
        <w:rPr>
          <w:rFonts w:cstheme="minorHAnsi"/>
          <w:sz w:val="24"/>
          <w:szCs w:val="24"/>
        </w:rPr>
      </w:pPr>
      <w:r w:rsidRPr="00C35E5E">
        <w:rPr>
          <w:rFonts w:cstheme="minorHAnsi"/>
          <w:sz w:val="24"/>
          <w:szCs w:val="24"/>
        </w:rPr>
        <w:t>Kyle Murphy, P.E. of RESPEC – open pit design, mine planning, scheduling and costing.</w:t>
      </w:r>
    </w:p>
    <w:p w14:paraId="0871B092" w14:textId="77777777" w:rsidR="00354A09" w:rsidRPr="00A960FD" w:rsidRDefault="00354A09" w:rsidP="00354A09">
      <w:pPr>
        <w:keepNext/>
        <w:spacing w:after="120" w:line="240" w:lineRule="auto"/>
        <w:jc w:val="both"/>
        <w:rPr>
          <w:rFonts w:eastAsia="Times New Roman" w:cstheme="minorHAnsi"/>
          <w:sz w:val="24"/>
          <w:szCs w:val="24"/>
          <w:bdr w:val="none" w:sz="0" w:space="0" w:color="auto" w:frame="1"/>
        </w:rPr>
      </w:pPr>
      <w:r>
        <w:rPr>
          <w:rFonts w:eastAsia="Times New Roman" w:cstheme="minorHAnsi"/>
          <w:b/>
          <w:bCs/>
          <w:sz w:val="24"/>
          <w:szCs w:val="24"/>
          <w:bdr w:val="none" w:sz="0" w:space="0" w:color="auto" w:frame="1"/>
        </w:rPr>
        <w:t>Cautionary Note Regarding Forward-Looking Information</w:t>
      </w:r>
    </w:p>
    <w:p w14:paraId="04182FD9" w14:textId="77777777" w:rsidR="00E03E50" w:rsidRDefault="00E03E50" w:rsidP="00354A09">
      <w:pPr>
        <w:keepNext/>
        <w:spacing w:after="240" w:line="240" w:lineRule="auto"/>
        <w:jc w:val="both"/>
        <w:rPr>
          <w:rFonts w:eastAsia="Times New Roman" w:cstheme="minorHAnsi"/>
          <w:i/>
          <w:iCs/>
          <w:sz w:val="24"/>
          <w:szCs w:val="24"/>
          <w:bdr w:val="none" w:sz="0" w:space="0" w:color="auto" w:frame="1"/>
        </w:rPr>
      </w:pPr>
      <w:r>
        <w:rPr>
          <w:rFonts w:eastAsia="Times New Roman" w:cstheme="minorHAnsi"/>
          <w:i/>
          <w:iCs/>
          <w:sz w:val="24"/>
          <w:szCs w:val="24"/>
          <w:bdr w:val="none" w:sz="0" w:space="0" w:color="auto" w:frame="1"/>
        </w:rPr>
        <w:t xml:space="preserve">This news release may contain "forward-looking information" and "forward-looking statements" within the meaning of applicable Canadian and United States securities legislation (collectively, "forward-looking statements"). These forward-looking statements, by their nature, require the Company to make certain assumptions and involve known and unknown risks and uncertainties that could cause actual results to differ materially from those expressed or implied in such forward-looking statements. Any statement that involves predictions, expectations, interpretations, beliefs, plans, projections, objectives, assumptions, future events or performance (often, but not always, using phrases such as "expects", or "does not expect", "is expected", "interpreted", "management's </w:t>
      </w:r>
      <w:r>
        <w:rPr>
          <w:rFonts w:eastAsia="Times New Roman" w:cstheme="minorHAnsi"/>
          <w:i/>
          <w:iCs/>
          <w:sz w:val="24"/>
          <w:szCs w:val="24"/>
          <w:bdr w:val="none" w:sz="0" w:space="0" w:color="auto" w:frame="1"/>
        </w:rPr>
        <w:lastRenderedPageBreak/>
        <w:t>view", "anticipates" or "does not anticipate", "plans", "budget", "scheduled", "forecasts", "estimates", "potential", "feasibility", "believes" or "intends" or variations of such words and phrases or stating that certain actions, events or results "may" or "could", "would", "might" or "will" be taken to occur or be achieved) are not statements of historical fact and may be forward-looking statements and are intended to identify forward-looking statements. This news release contains forward-looking statements pertaining to, among other things: the finalization of baseline study reports and their submission to the USFS; the preparation of the Phase I Baseline Hydrogeologic Report; the Phase II hydrogeologic investigation; the completion of air quality and emissions studies and their submission to the USFS; continual groundwater monitoring at the Doby George Project; the timing of assay results from the 2026 drill program; geochemical, column leach and metallurgical test work; the completion and timing of the Power Study; the USFS review of the MPO and the associated environmental review process; the use of hydrogeological data in the PFS and future development of the Doby George Project; the completion and timing of the PFS; the prospects, if any, of the Doby George Project and the Wood Gulch and Gravel Creek mineral deposits; future drilling at the Company's Aura project; and the ability to expand the existing mineral resources at the Company's Aura project.</w:t>
      </w:r>
    </w:p>
    <w:p w14:paraId="520CC0D9" w14:textId="0D37C16E" w:rsidR="00E03E50" w:rsidRPr="00BC7870" w:rsidRDefault="00E03E50" w:rsidP="00354A09">
      <w:pPr>
        <w:keepNext/>
        <w:spacing w:after="240" w:line="240" w:lineRule="auto"/>
        <w:jc w:val="both"/>
        <w:rPr>
          <w:rFonts w:eastAsia="Times New Roman" w:cstheme="minorHAnsi"/>
          <w:i/>
          <w:iCs/>
          <w:sz w:val="24"/>
          <w:szCs w:val="24"/>
          <w:bdr w:val="none" w:sz="0" w:space="0" w:color="auto" w:frame="1"/>
        </w:rPr>
      </w:pPr>
      <w:r>
        <w:rPr>
          <w:rFonts w:eastAsia="Times New Roman" w:cstheme="minorHAnsi"/>
          <w:i/>
          <w:iCs/>
          <w:sz w:val="24"/>
          <w:szCs w:val="24"/>
        </w:rPr>
        <w:t>Forward-looking statements are subject to a variety of risks and uncertainties which could cause actual events or results to differ from those reflected in the forward-looking statements. Such factors include, among others, risks relating to delays in the completion of baseline study reports or their submission to the USFS; delays in the receipt of assay results; delays in the completion of the Power Study and its results; requests by the USFS or cooperating agencies for additional information or studies; the outcome of the regulatory review process and the ability of the Company to obtain required permits and approvals on anticipated timelines or at all; the ability of exploration activities (including drill results) to accurately predict mineralization; errors in management’s geological modelling; the ability of Western Exploration to complete further exploration activities, including drilling; property and royalty interests in respect of the Aura project; the ability of the Company to obtain required approvals; the results of exploration activities; risks relating to mining activities; the global economic climate; metal prices; dilution; environmental risks; and community and non-governmental actions. Although the forward-looking information contained in this news release is based upon what management believes, or believed at the time, to be reasonable assumptions, Western Exploration cannot assure shareholders and prospective purchasers of securities of the Company that actual results will be consistent with such forward-looking information, as there may be other factors that cause results not to be as anticipated, estimated or intended, and neither Western Exploration nor any other person assumes responsibility for the accuracy and completeness of any such forward-looking information.</w:t>
      </w:r>
    </w:p>
    <w:p w14:paraId="15C90A2D" w14:textId="2BFD470E" w:rsidR="00354A09" w:rsidRPr="00BC7870" w:rsidRDefault="00354A09" w:rsidP="00354A09">
      <w:pPr>
        <w:spacing w:line="240" w:lineRule="auto"/>
        <w:jc w:val="both"/>
        <w:rPr>
          <w:rFonts w:eastAsia="Times New Roman" w:cstheme="minorHAnsi"/>
          <w:i/>
          <w:iCs/>
          <w:sz w:val="24"/>
          <w:szCs w:val="24"/>
          <w:bdr w:val="none" w:sz="0" w:space="0" w:color="auto" w:frame="1"/>
        </w:rPr>
      </w:pPr>
      <w:r w:rsidRPr="00BC7870">
        <w:rPr>
          <w:rFonts w:eastAsia="Times New Roman" w:cstheme="minorHAnsi"/>
          <w:i/>
          <w:iCs/>
          <w:sz w:val="24"/>
          <w:szCs w:val="24"/>
          <w:bdr w:val="none" w:sz="0" w:space="0" w:color="auto" w:frame="1"/>
        </w:rPr>
        <w:t>For additional information with respect to these and other factors and assumptions underlying the forward‐looking statements and forward-looking information made in this news release concerning Western Exploration, see the Company's continuous disclosure filings, including its most recent management's discussion and analysis, available electronically under Western Exploration's issuer profile on SEDAR+ (</w:t>
      </w:r>
      <w:hyperlink r:id="rId15" w:history="1">
        <w:r w:rsidRPr="00BC7870">
          <w:rPr>
            <w:rStyle w:val="Hyperlink"/>
            <w:rFonts w:eastAsia="Times New Roman" w:cstheme="minorHAnsi"/>
            <w:i/>
            <w:iCs/>
            <w:sz w:val="24"/>
            <w:szCs w:val="24"/>
            <w:bdr w:val="none" w:sz="0" w:space="0" w:color="auto" w:frame="1"/>
          </w:rPr>
          <w:t>www.sedarplus.ca</w:t>
        </w:r>
      </w:hyperlink>
      <w:r w:rsidRPr="00BC7870">
        <w:rPr>
          <w:rFonts w:eastAsia="Times New Roman" w:cstheme="minorHAnsi"/>
          <w:i/>
          <w:iCs/>
          <w:sz w:val="24"/>
          <w:szCs w:val="24"/>
          <w:bdr w:val="none" w:sz="0" w:space="0" w:color="auto" w:frame="1"/>
        </w:rPr>
        <w:t xml:space="preserve">). The forward-looking statements set forth herein concerning Western Exploration reflect management's expectations as at the date of this news release and are subject to change after such date. Western Exploration disclaims any intention or obligation to </w:t>
      </w:r>
      <w:r w:rsidRPr="00BC7870">
        <w:rPr>
          <w:rFonts w:eastAsia="Times New Roman" w:cstheme="minorHAnsi"/>
          <w:i/>
          <w:iCs/>
          <w:sz w:val="24"/>
          <w:szCs w:val="24"/>
          <w:bdr w:val="none" w:sz="0" w:space="0" w:color="auto" w:frame="1"/>
        </w:rPr>
        <w:lastRenderedPageBreak/>
        <w:t xml:space="preserve">update or revise any forward-looking statements, whether </w:t>
      </w:r>
      <w:proofErr w:type="gramStart"/>
      <w:r w:rsidRPr="00BC7870">
        <w:rPr>
          <w:rFonts w:eastAsia="Times New Roman" w:cstheme="minorHAnsi"/>
          <w:i/>
          <w:iCs/>
          <w:sz w:val="24"/>
          <w:szCs w:val="24"/>
          <w:bdr w:val="none" w:sz="0" w:space="0" w:color="auto" w:frame="1"/>
        </w:rPr>
        <w:t>as a result of</w:t>
      </w:r>
      <w:proofErr w:type="gramEnd"/>
      <w:r w:rsidRPr="00BC7870">
        <w:rPr>
          <w:rFonts w:eastAsia="Times New Roman" w:cstheme="minorHAnsi"/>
          <w:i/>
          <w:iCs/>
          <w:sz w:val="24"/>
          <w:szCs w:val="24"/>
          <w:bdr w:val="none" w:sz="0" w:space="0" w:color="auto" w:frame="1"/>
        </w:rPr>
        <w:t xml:space="preserve"> new information, future events or otherwise, other than as required by law.</w:t>
      </w:r>
    </w:p>
    <w:p w14:paraId="16A97222" w14:textId="2F045FB2" w:rsidR="000A1A32" w:rsidRPr="00E03E50" w:rsidRDefault="00354A09" w:rsidP="00E03E50">
      <w:pPr>
        <w:spacing w:line="240" w:lineRule="auto"/>
        <w:jc w:val="both"/>
        <w:rPr>
          <w:rFonts w:cstheme="minorHAnsi"/>
          <w:b/>
          <w:i/>
          <w:iCs/>
          <w:sz w:val="24"/>
          <w:szCs w:val="24"/>
          <w:bdr w:val="none" w:sz="0" w:space="0" w:color="auto" w:frame="1"/>
        </w:rPr>
      </w:pPr>
      <w:r>
        <w:rPr>
          <w:rFonts w:eastAsia="Times New Roman" w:cstheme="minorHAnsi"/>
          <w:b/>
          <w:i/>
          <w:iCs/>
          <w:sz w:val="24"/>
          <w:szCs w:val="24"/>
          <w:bdr w:val="none" w:sz="0" w:space="0" w:color="auto" w:frame="1"/>
        </w:rPr>
        <w:t xml:space="preserve">Neither the TSX Venture Exchange nor its </w:t>
      </w:r>
      <w:bookmarkStart w:id="0" w:name="_9kR3WTr26648FeKgx3kt2y4jV1JBtq7tnJOJ2zE"/>
      <w:r>
        <w:rPr>
          <w:rFonts w:eastAsia="Times New Roman" w:cstheme="minorHAnsi"/>
          <w:b/>
          <w:i/>
          <w:iCs/>
          <w:sz w:val="24"/>
          <w:szCs w:val="24"/>
          <w:bdr w:val="none" w:sz="0" w:space="0" w:color="auto" w:frame="1"/>
        </w:rPr>
        <w:t>Regulation Services Provider</w:t>
      </w:r>
      <w:bookmarkEnd w:id="0"/>
      <w:r>
        <w:rPr>
          <w:rFonts w:eastAsia="Times New Roman" w:cstheme="minorHAnsi"/>
          <w:b/>
          <w:i/>
          <w:iCs/>
          <w:sz w:val="24"/>
          <w:szCs w:val="24"/>
          <w:bdr w:val="none" w:sz="0" w:space="0" w:color="auto" w:frame="1"/>
        </w:rPr>
        <w:t xml:space="preserve"> (as that term is defined in the policies of the TSX Venture Exchange) accepts responsibility for the adequacy or accuracy of this news release. No stock exchange, securities commission or other regulatory authority has approved or disapproved the information contained herein.</w:t>
      </w:r>
    </w:p>
    <w:sectPr w:rsidR="000A1A32" w:rsidRPr="00E03E50" w:rsidSect="00BB1942">
      <w:headerReference w:type="even" r:id="rId16"/>
      <w:headerReference w:type="default" r:id="rId17"/>
      <w:footerReference w:type="even" r:id="rId18"/>
      <w:footerReference w:type="default" r:id="rId19"/>
      <w:headerReference w:type="first" r:id="rId20"/>
      <w:footerReference w:type="first" r:id="rId21"/>
      <w:pgSz w:w="12240" w:h="15840"/>
      <w:pgMar w:top="1440" w:right="117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FE44F" w14:textId="77777777" w:rsidR="00A9728A" w:rsidRDefault="00A9728A">
      <w:pPr>
        <w:spacing w:after="0" w:line="240" w:lineRule="auto"/>
      </w:pPr>
      <w:r>
        <w:separator/>
      </w:r>
    </w:p>
  </w:endnote>
  <w:endnote w:type="continuationSeparator" w:id="0">
    <w:p w14:paraId="0EE3A155" w14:textId="77777777" w:rsidR="00A9728A" w:rsidRDefault="00A97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7153D" w14:textId="77777777" w:rsidR="00BB1942" w:rsidRDefault="00BB19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974928"/>
      <w:docPartObj>
        <w:docPartGallery w:val="Page Numbers (Bottom of Page)"/>
        <w:docPartUnique/>
      </w:docPartObj>
    </w:sdtPr>
    <w:sdtEndPr>
      <w:rPr>
        <w:noProof/>
      </w:rPr>
    </w:sdtEndPr>
    <w:sdtContent>
      <w:p w14:paraId="746970EA" w14:textId="77777777" w:rsidR="005D3F61" w:rsidRDefault="00205AF9">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0C1DB035" w14:textId="77777777" w:rsidR="005D3F61" w:rsidRDefault="005D3F61">
    <w:pPr>
      <w:pStyle w:val="Footer"/>
      <w:tabs>
        <w:tab w:val="clear" w:pos="4680"/>
        <w:tab w:val="clear" w:pos="9360"/>
        <w:tab w:val="left" w:pos="406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0B1B3" w14:textId="77777777" w:rsidR="00BB1942" w:rsidRDefault="00BB1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D69E0" w14:textId="77777777" w:rsidR="00A9728A" w:rsidRDefault="00A9728A">
      <w:pPr>
        <w:spacing w:after="0" w:line="240" w:lineRule="auto"/>
      </w:pPr>
      <w:r>
        <w:separator/>
      </w:r>
    </w:p>
  </w:footnote>
  <w:footnote w:type="continuationSeparator" w:id="0">
    <w:p w14:paraId="4920CB7A" w14:textId="77777777" w:rsidR="00A9728A" w:rsidRDefault="00A972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1346467"/>
      <w:docPartObj>
        <w:docPartGallery w:val="Page Numbers (Top of Page)"/>
        <w:docPartUnique/>
      </w:docPartObj>
    </w:sdtPr>
    <w:sdtContent>
      <w:p w14:paraId="5A020B99" w14:textId="77777777" w:rsidR="005D3F61" w:rsidRDefault="00205AF9">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83DE2D" w14:textId="77777777" w:rsidR="005D3F61" w:rsidRDefault="005D3F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E3302" w14:textId="77777777" w:rsidR="005D3F61" w:rsidRPr="004B26AA" w:rsidRDefault="005D3F61">
    <w:pPr>
      <w:pStyle w:val="Header"/>
      <w:tabs>
        <w:tab w:val="clear" w:pos="4680"/>
      </w:tabs>
      <w:rPr>
        <w:rFonts w:eastAsia="Times New Roman" w:cs="Arial"/>
        <w:color w:val="000000"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59142" w14:textId="77777777" w:rsidR="005D3F61" w:rsidRDefault="00205AF9">
    <w:pPr>
      <w:pStyle w:val="Header"/>
      <w:jc w:val="center"/>
    </w:pPr>
    <w:r>
      <w:rPr>
        <w:noProof/>
      </w:rPr>
      <w:drawing>
        <wp:inline distT="0" distB="0" distL="0" distR="0" wp14:anchorId="664D4B79" wp14:editId="5AA9D250">
          <wp:extent cx="3569462" cy="1073888"/>
          <wp:effectExtent l="0" t="0" r="0" b="0"/>
          <wp:docPr id="503039329" name="Picture 503039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92530" cy="111091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0773"/>
    <w:multiLevelType w:val="hybridMultilevel"/>
    <w:tmpl w:val="199E2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E2F64"/>
    <w:multiLevelType w:val="hybridMultilevel"/>
    <w:tmpl w:val="AE989FA0"/>
    <w:lvl w:ilvl="0" w:tplc="69D6CA8E">
      <w:start w:val="1"/>
      <w:numFmt w:val="bullet"/>
      <w:lvlText w:val="•"/>
      <w:lvlJc w:val="left"/>
      <w:pPr>
        <w:ind w:left="720" w:hanging="360"/>
      </w:pPr>
    </w:lvl>
    <w:lvl w:ilvl="1" w:tplc="1E82B4EC">
      <w:start w:val="1"/>
      <w:numFmt w:val="bullet"/>
      <w:lvlText w:val="◦"/>
      <w:lvlJc w:val="left"/>
      <w:pPr>
        <w:ind w:left="1440" w:hanging="360"/>
      </w:pPr>
    </w:lvl>
    <w:lvl w:ilvl="2" w:tplc="5EECDE2A">
      <w:numFmt w:val="decimal"/>
      <w:lvlText w:val=""/>
      <w:lvlJc w:val="left"/>
      <w:pPr>
        <w:ind w:left="0" w:firstLine="0"/>
      </w:pPr>
    </w:lvl>
    <w:lvl w:ilvl="3" w:tplc="80884F68">
      <w:numFmt w:val="decimal"/>
      <w:lvlText w:val=""/>
      <w:lvlJc w:val="left"/>
      <w:pPr>
        <w:ind w:left="0" w:firstLine="0"/>
      </w:pPr>
    </w:lvl>
    <w:lvl w:ilvl="4" w:tplc="A2F877EA">
      <w:numFmt w:val="decimal"/>
      <w:lvlText w:val=""/>
      <w:lvlJc w:val="left"/>
      <w:pPr>
        <w:ind w:left="0" w:firstLine="0"/>
      </w:pPr>
    </w:lvl>
    <w:lvl w:ilvl="5" w:tplc="CD105356">
      <w:numFmt w:val="decimal"/>
      <w:lvlText w:val=""/>
      <w:lvlJc w:val="left"/>
      <w:pPr>
        <w:ind w:left="0" w:firstLine="0"/>
      </w:pPr>
    </w:lvl>
    <w:lvl w:ilvl="6" w:tplc="8432126E">
      <w:numFmt w:val="decimal"/>
      <w:lvlText w:val=""/>
      <w:lvlJc w:val="left"/>
      <w:pPr>
        <w:ind w:left="0" w:firstLine="0"/>
      </w:pPr>
    </w:lvl>
    <w:lvl w:ilvl="7" w:tplc="68946A16">
      <w:numFmt w:val="decimal"/>
      <w:lvlText w:val=""/>
      <w:lvlJc w:val="left"/>
      <w:pPr>
        <w:ind w:left="0" w:firstLine="0"/>
      </w:pPr>
    </w:lvl>
    <w:lvl w:ilvl="8" w:tplc="4698A7F0">
      <w:numFmt w:val="decimal"/>
      <w:lvlText w:val=""/>
      <w:lvlJc w:val="left"/>
      <w:pPr>
        <w:ind w:left="0" w:firstLine="0"/>
      </w:pPr>
    </w:lvl>
  </w:abstractNum>
  <w:abstractNum w:abstractNumId="2" w15:restartNumberingAfterBreak="0">
    <w:nsid w:val="05274915"/>
    <w:multiLevelType w:val="hybridMultilevel"/>
    <w:tmpl w:val="BDD663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6A436A"/>
    <w:multiLevelType w:val="hybridMultilevel"/>
    <w:tmpl w:val="E054828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13E72886"/>
    <w:multiLevelType w:val="hybridMultilevel"/>
    <w:tmpl w:val="08200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7A69D7"/>
    <w:multiLevelType w:val="hybridMultilevel"/>
    <w:tmpl w:val="4DFACC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654847"/>
    <w:multiLevelType w:val="hybridMultilevel"/>
    <w:tmpl w:val="39002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161177"/>
    <w:multiLevelType w:val="hybridMultilevel"/>
    <w:tmpl w:val="69008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655071"/>
    <w:multiLevelType w:val="hybridMultilevel"/>
    <w:tmpl w:val="8BEAF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E57048"/>
    <w:multiLevelType w:val="hybridMultilevel"/>
    <w:tmpl w:val="A02EAB0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26AA7248"/>
    <w:multiLevelType w:val="hybridMultilevel"/>
    <w:tmpl w:val="ED72C7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6F8326E"/>
    <w:multiLevelType w:val="hybridMultilevel"/>
    <w:tmpl w:val="E1D401DA"/>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2" w15:restartNumberingAfterBreak="0">
    <w:nsid w:val="2D5D0278"/>
    <w:multiLevelType w:val="hybridMultilevel"/>
    <w:tmpl w:val="808CE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B95D85"/>
    <w:multiLevelType w:val="multilevel"/>
    <w:tmpl w:val="FA1CA8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F033EC"/>
    <w:multiLevelType w:val="hybridMultilevel"/>
    <w:tmpl w:val="EC5E9954"/>
    <w:lvl w:ilvl="0" w:tplc="566AAD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4F43D98"/>
    <w:multiLevelType w:val="multilevel"/>
    <w:tmpl w:val="7DAED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34427D"/>
    <w:multiLevelType w:val="hybridMultilevel"/>
    <w:tmpl w:val="E34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744D51"/>
    <w:multiLevelType w:val="hybridMultilevel"/>
    <w:tmpl w:val="B330C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AE1627"/>
    <w:multiLevelType w:val="hybridMultilevel"/>
    <w:tmpl w:val="048C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645854"/>
    <w:multiLevelType w:val="hybridMultilevel"/>
    <w:tmpl w:val="8C867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8D27EA"/>
    <w:multiLevelType w:val="hybridMultilevel"/>
    <w:tmpl w:val="D18C7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A45DE6"/>
    <w:multiLevelType w:val="hybridMultilevel"/>
    <w:tmpl w:val="17102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230DA2"/>
    <w:multiLevelType w:val="hybridMultilevel"/>
    <w:tmpl w:val="9BF694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C4F285E"/>
    <w:multiLevelType w:val="hybridMultilevel"/>
    <w:tmpl w:val="B942C8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F2A5264"/>
    <w:multiLevelType w:val="hybridMultilevel"/>
    <w:tmpl w:val="0A746C86"/>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5" w15:restartNumberingAfterBreak="0">
    <w:nsid w:val="501E4AAE"/>
    <w:multiLevelType w:val="hybridMultilevel"/>
    <w:tmpl w:val="7A349510"/>
    <w:lvl w:ilvl="0" w:tplc="02909BB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EF7D4F"/>
    <w:multiLevelType w:val="hybridMultilevel"/>
    <w:tmpl w:val="21367B2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7" w15:restartNumberingAfterBreak="0">
    <w:nsid w:val="5EDF623F"/>
    <w:multiLevelType w:val="hybridMultilevel"/>
    <w:tmpl w:val="BA40A078"/>
    <w:lvl w:ilvl="0" w:tplc="04090001">
      <w:start w:val="1"/>
      <w:numFmt w:val="bullet"/>
      <w:lvlText w:val=""/>
      <w:lvlJc w:val="left"/>
      <w:pPr>
        <w:ind w:left="99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8" w15:restartNumberingAfterBreak="0">
    <w:nsid w:val="60933322"/>
    <w:multiLevelType w:val="hybridMultilevel"/>
    <w:tmpl w:val="6122E9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54E2BE4"/>
    <w:multiLevelType w:val="hybridMultilevel"/>
    <w:tmpl w:val="320C5D7C"/>
    <w:lvl w:ilvl="0" w:tplc="FEAEFEB0">
      <w:start w:val="10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C11BBA"/>
    <w:multiLevelType w:val="hybridMultilevel"/>
    <w:tmpl w:val="C144F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6D0096"/>
    <w:multiLevelType w:val="multilevel"/>
    <w:tmpl w:val="65AE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223985"/>
    <w:multiLevelType w:val="hybridMultilevel"/>
    <w:tmpl w:val="E62002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0DA2A53"/>
    <w:multiLevelType w:val="hybridMultilevel"/>
    <w:tmpl w:val="AF0AA044"/>
    <w:lvl w:ilvl="0" w:tplc="7F66FC38">
      <w:start w:val="2022"/>
      <w:numFmt w:val="bullet"/>
      <w:lvlText w:val="-"/>
      <w:lvlJc w:val="left"/>
      <w:pPr>
        <w:ind w:left="720" w:hanging="360"/>
      </w:pPr>
      <w:rPr>
        <w:rFonts w:ascii="Calibri" w:eastAsiaTheme="minorHAnsi"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733C4A"/>
    <w:multiLevelType w:val="hybridMultilevel"/>
    <w:tmpl w:val="30348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861C5D"/>
    <w:multiLevelType w:val="hybridMultilevel"/>
    <w:tmpl w:val="AFE45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CE5290"/>
    <w:multiLevelType w:val="hybridMultilevel"/>
    <w:tmpl w:val="5DB4412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751535120">
    <w:abstractNumId w:val="18"/>
  </w:num>
  <w:num w:numId="2" w16cid:durableId="302514957">
    <w:abstractNumId w:val="25"/>
  </w:num>
  <w:num w:numId="3" w16cid:durableId="1194804710">
    <w:abstractNumId w:val="29"/>
  </w:num>
  <w:num w:numId="4" w16cid:durableId="992102739">
    <w:abstractNumId w:val="12"/>
  </w:num>
  <w:num w:numId="5" w16cid:durableId="1038823355">
    <w:abstractNumId w:val="4"/>
  </w:num>
  <w:num w:numId="6" w16cid:durableId="1313753026">
    <w:abstractNumId w:val="30"/>
  </w:num>
  <w:num w:numId="7" w16cid:durableId="280108884">
    <w:abstractNumId w:val="8"/>
  </w:num>
  <w:num w:numId="8" w16cid:durableId="314837646">
    <w:abstractNumId w:val="21"/>
  </w:num>
  <w:num w:numId="9" w16cid:durableId="502210019">
    <w:abstractNumId w:val="14"/>
  </w:num>
  <w:num w:numId="10" w16cid:durableId="1305235405">
    <w:abstractNumId w:val="17"/>
  </w:num>
  <w:num w:numId="11" w16cid:durableId="190580473">
    <w:abstractNumId w:val="33"/>
  </w:num>
  <w:num w:numId="12" w16cid:durableId="1541167160">
    <w:abstractNumId w:val="15"/>
  </w:num>
  <w:num w:numId="13" w16cid:durableId="723522434">
    <w:abstractNumId w:val="13"/>
  </w:num>
  <w:num w:numId="14" w16cid:durableId="2110657769">
    <w:abstractNumId w:val="32"/>
  </w:num>
  <w:num w:numId="15" w16cid:durableId="1936551411">
    <w:abstractNumId w:val="20"/>
  </w:num>
  <w:num w:numId="16" w16cid:durableId="1747072070">
    <w:abstractNumId w:val="3"/>
  </w:num>
  <w:num w:numId="17" w16cid:durableId="849686022">
    <w:abstractNumId w:val="28"/>
  </w:num>
  <w:num w:numId="18" w16cid:durableId="348532961">
    <w:abstractNumId w:val="26"/>
  </w:num>
  <w:num w:numId="19" w16cid:durableId="397438067">
    <w:abstractNumId w:val="16"/>
  </w:num>
  <w:num w:numId="20" w16cid:durableId="1458066360">
    <w:abstractNumId w:val="36"/>
  </w:num>
  <w:num w:numId="21" w16cid:durableId="1100293972">
    <w:abstractNumId w:val="0"/>
  </w:num>
  <w:num w:numId="22" w16cid:durableId="1365445289">
    <w:abstractNumId w:val="6"/>
  </w:num>
  <w:num w:numId="23" w16cid:durableId="1759598817">
    <w:abstractNumId w:val="35"/>
  </w:num>
  <w:num w:numId="24" w16cid:durableId="109788751">
    <w:abstractNumId w:val="11"/>
  </w:num>
  <w:num w:numId="25" w16cid:durableId="934828526">
    <w:abstractNumId w:val="19"/>
  </w:num>
  <w:num w:numId="26" w16cid:durableId="1737046570">
    <w:abstractNumId w:val="10"/>
  </w:num>
  <w:num w:numId="27" w16cid:durableId="1218511885">
    <w:abstractNumId w:val="2"/>
  </w:num>
  <w:num w:numId="28" w16cid:durableId="1673098952">
    <w:abstractNumId w:val="7"/>
  </w:num>
  <w:num w:numId="29" w16cid:durableId="101463485">
    <w:abstractNumId w:val="23"/>
  </w:num>
  <w:num w:numId="30" w16cid:durableId="1620182345">
    <w:abstractNumId w:val="27"/>
  </w:num>
  <w:num w:numId="31" w16cid:durableId="1133214538">
    <w:abstractNumId w:val="9"/>
  </w:num>
  <w:num w:numId="32" w16cid:durableId="877014500">
    <w:abstractNumId w:val="22"/>
  </w:num>
  <w:num w:numId="33" w16cid:durableId="1436632572">
    <w:abstractNumId w:val="5"/>
  </w:num>
  <w:num w:numId="34" w16cid:durableId="1256131449">
    <w:abstractNumId w:val="1"/>
  </w:num>
  <w:num w:numId="35" w16cid:durableId="1970741698">
    <w:abstractNumId w:val="24"/>
  </w:num>
  <w:num w:numId="36" w16cid:durableId="1812668363">
    <w:abstractNumId w:val="31"/>
  </w:num>
  <w:num w:numId="37" w16cid:durableId="138814457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A09"/>
    <w:rsid w:val="00000717"/>
    <w:rsid w:val="00003D13"/>
    <w:rsid w:val="00006490"/>
    <w:rsid w:val="00011538"/>
    <w:rsid w:val="00013FB0"/>
    <w:rsid w:val="000145EC"/>
    <w:rsid w:val="00015B48"/>
    <w:rsid w:val="000167D4"/>
    <w:rsid w:val="00016A6E"/>
    <w:rsid w:val="00016E09"/>
    <w:rsid w:val="00020D22"/>
    <w:rsid w:val="00020FA3"/>
    <w:rsid w:val="0002116A"/>
    <w:rsid w:val="0002199D"/>
    <w:rsid w:val="000220F6"/>
    <w:rsid w:val="0002233B"/>
    <w:rsid w:val="000223EA"/>
    <w:rsid w:val="00022623"/>
    <w:rsid w:val="0002263D"/>
    <w:rsid w:val="0003098C"/>
    <w:rsid w:val="00030D38"/>
    <w:rsid w:val="00031AB9"/>
    <w:rsid w:val="000326E6"/>
    <w:rsid w:val="00033CBE"/>
    <w:rsid w:val="000352C6"/>
    <w:rsid w:val="000357A0"/>
    <w:rsid w:val="00037EB9"/>
    <w:rsid w:val="00037F0B"/>
    <w:rsid w:val="000403B9"/>
    <w:rsid w:val="00040818"/>
    <w:rsid w:val="000420C8"/>
    <w:rsid w:val="00042B4E"/>
    <w:rsid w:val="00042E14"/>
    <w:rsid w:val="00044712"/>
    <w:rsid w:val="00047C63"/>
    <w:rsid w:val="0005108D"/>
    <w:rsid w:val="00051607"/>
    <w:rsid w:val="000519B8"/>
    <w:rsid w:val="00053CD8"/>
    <w:rsid w:val="00056B4C"/>
    <w:rsid w:val="00056DD5"/>
    <w:rsid w:val="00057F5A"/>
    <w:rsid w:val="000605EC"/>
    <w:rsid w:val="00062386"/>
    <w:rsid w:val="000639FD"/>
    <w:rsid w:val="00063AE3"/>
    <w:rsid w:val="00063E01"/>
    <w:rsid w:val="00064883"/>
    <w:rsid w:val="000648F5"/>
    <w:rsid w:val="000657EB"/>
    <w:rsid w:val="00065929"/>
    <w:rsid w:val="00065E4C"/>
    <w:rsid w:val="00070EA9"/>
    <w:rsid w:val="00071A3D"/>
    <w:rsid w:val="00073289"/>
    <w:rsid w:val="00073E99"/>
    <w:rsid w:val="00073ED8"/>
    <w:rsid w:val="00077B5F"/>
    <w:rsid w:val="00081834"/>
    <w:rsid w:val="00083832"/>
    <w:rsid w:val="000858CB"/>
    <w:rsid w:val="000875D7"/>
    <w:rsid w:val="000876A0"/>
    <w:rsid w:val="00087B4E"/>
    <w:rsid w:val="00090BDF"/>
    <w:rsid w:val="00091E0A"/>
    <w:rsid w:val="000931E1"/>
    <w:rsid w:val="00094B36"/>
    <w:rsid w:val="0009514D"/>
    <w:rsid w:val="00097221"/>
    <w:rsid w:val="0009750B"/>
    <w:rsid w:val="000A1051"/>
    <w:rsid w:val="000A1A32"/>
    <w:rsid w:val="000A2848"/>
    <w:rsid w:val="000A37A3"/>
    <w:rsid w:val="000A3AED"/>
    <w:rsid w:val="000A55A0"/>
    <w:rsid w:val="000A5BED"/>
    <w:rsid w:val="000A72E3"/>
    <w:rsid w:val="000A7825"/>
    <w:rsid w:val="000B0E9B"/>
    <w:rsid w:val="000B40DF"/>
    <w:rsid w:val="000B4174"/>
    <w:rsid w:val="000B481C"/>
    <w:rsid w:val="000C4399"/>
    <w:rsid w:val="000C44AE"/>
    <w:rsid w:val="000C5883"/>
    <w:rsid w:val="000C7069"/>
    <w:rsid w:val="000C7157"/>
    <w:rsid w:val="000D149E"/>
    <w:rsid w:val="000D1C00"/>
    <w:rsid w:val="000D1DCC"/>
    <w:rsid w:val="000D3237"/>
    <w:rsid w:val="000D6041"/>
    <w:rsid w:val="000D7663"/>
    <w:rsid w:val="000E31A1"/>
    <w:rsid w:val="000E3878"/>
    <w:rsid w:val="000E3A3D"/>
    <w:rsid w:val="000E651C"/>
    <w:rsid w:val="000F0A1B"/>
    <w:rsid w:val="000F0A2E"/>
    <w:rsid w:val="000F0F0E"/>
    <w:rsid w:val="000F120B"/>
    <w:rsid w:val="000F4397"/>
    <w:rsid w:val="000F5F34"/>
    <w:rsid w:val="000F6D36"/>
    <w:rsid w:val="00100359"/>
    <w:rsid w:val="0010345C"/>
    <w:rsid w:val="0010568D"/>
    <w:rsid w:val="00106A20"/>
    <w:rsid w:val="0011049E"/>
    <w:rsid w:val="00110BA6"/>
    <w:rsid w:val="001140C1"/>
    <w:rsid w:val="001170E2"/>
    <w:rsid w:val="00120287"/>
    <w:rsid w:val="00121DA7"/>
    <w:rsid w:val="00122213"/>
    <w:rsid w:val="001241CB"/>
    <w:rsid w:val="0012518E"/>
    <w:rsid w:val="00126A25"/>
    <w:rsid w:val="00126B95"/>
    <w:rsid w:val="001273BD"/>
    <w:rsid w:val="00127486"/>
    <w:rsid w:val="001311AC"/>
    <w:rsid w:val="00132448"/>
    <w:rsid w:val="0013316F"/>
    <w:rsid w:val="00134738"/>
    <w:rsid w:val="0013528B"/>
    <w:rsid w:val="00137C0C"/>
    <w:rsid w:val="00140AFD"/>
    <w:rsid w:val="0014158A"/>
    <w:rsid w:val="00141EBF"/>
    <w:rsid w:val="001434B9"/>
    <w:rsid w:val="00144014"/>
    <w:rsid w:val="001456F1"/>
    <w:rsid w:val="0015351D"/>
    <w:rsid w:val="00155282"/>
    <w:rsid w:val="0016096D"/>
    <w:rsid w:val="0016157A"/>
    <w:rsid w:val="001615A0"/>
    <w:rsid w:val="00161F2E"/>
    <w:rsid w:val="00163B07"/>
    <w:rsid w:val="00167379"/>
    <w:rsid w:val="00167570"/>
    <w:rsid w:val="001678AC"/>
    <w:rsid w:val="00170190"/>
    <w:rsid w:val="001722C5"/>
    <w:rsid w:val="0017289A"/>
    <w:rsid w:val="00172986"/>
    <w:rsid w:val="00173165"/>
    <w:rsid w:val="00175869"/>
    <w:rsid w:val="00176585"/>
    <w:rsid w:val="00177272"/>
    <w:rsid w:val="00180602"/>
    <w:rsid w:val="001806D5"/>
    <w:rsid w:val="00180AA2"/>
    <w:rsid w:val="00180DDA"/>
    <w:rsid w:val="00180F39"/>
    <w:rsid w:val="00182D78"/>
    <w:rsid w:val="00183858"/>
    <w:rsid w:val="00184C1B"/>
    <w:rsid w:val="001922A2"/>
    <w:rsid w:val="001924A2"/>
    <w:rsid w:val="00193E4D"/>
    <w:rsid w:val="00193F68"/>
    <w:rsid w:val="00194211"/>
    <w:rsid w:val="001947C9"/>
    <w:rsid w:val="001956D2"/>
    <w:rsid w:val="001A22B1"/>
    <w:rsid w:val="001A2754"/>
    <w:rsid w:val="001A3445"/>
    <w:rsid w:val="001A4F9F"/>
    <w:rsid w:val="001A5D68"/>
    <w:rsid w:val="001A5DC8"/>
    <w:rsid w:val="001A6453"/>
    <w:rsid w:val="001A7FED"/>
    <w:rsid w:val="001B00F2"/>
    <w:rsid w:val="001B0EC7"/>
    <w:rsid w:val="001B13A1"/>
    <w:rsid w:val="001B30B0"/>
    <w:rsid w:val="001B30FD"/>
    <w:rsid w:val="001B3E6E"/>
    <w:rsid w:val="001B5831"/>
    <w:rsid w:val="001B5F1D"/>
    <w:rsid w:val="001B6842"/>
    <w:rsid w:val="001B7E9F"/>
    <w:rsid w:val="001C1DEB"/>
    <w:rsid w:val="001C4929"/>
    <w:rsid w:val="001C4CD3"/>
    <w:rsid w:val="001C508D"/>
    <w:rsid w:val="001C7120"/>
    <w:rsid w:val="001C72DD"/>
    <w:rsid w:val="001D2385"/>
    <w:rsid w:val="001D4946"/>
    <w:rsid w:val="001D49CD"/>
    <w:rsid w:val="001D5608"/>
    <w:rsid w:val="001E06FF"/>
    <w:rsid w:val="001E278D"/>
    <w:rsid w:val="001E2E5A"/>
    <w:rsid w:val="001E3038"/>
    <w:rsid w:val="001E3362"/>
    <w:rsid w:val="001E37BA"/>
    <w:rsid w:val="001E6950"/>
    <w:rsid w:val="001E72B1"/>
    <w:rsid w:val="001F1B1F"/>
    <w:rsid w:val="00200361"/>
    <w:rsid w:val="00201176"/>
    <w:rsid w:val="00203EA6"/>
    <w:rsid w:val="0020481E"/>
    <w:rsid w:val="00204FB4"/>
    <w:rsid w:val="00205AF9"/>
    <w:rsid w:val="00205D8A"/>
    <w:rsid w:val="002074FE"/>
    <w:rsid w:val="00210E01"/>
    <w:rsid w:val="002110FC"/>
    <w:rsid w:val="00212878"/>
    <w:rsid w:val="0021297E"/>
    <w:rsid w:val="0021393C"/>
    <w:rsid w:val="00214633"/>
    <w:rsid w:val="00215159"/>
    <w:rsid w:val="00217F62"/>
    <w:rsid w:val="00220770"/>
    <w:rsid w:val="0022111E"/>
    <w:rsid w:val="00221CCD"/>
    <w:rsid w:val="00225ED6"/>
    <w:rsid w:val="0023441C"/>
    <w:rsid w:val="0023475C"/>
    <w:rsid w:val="00235D2E"/>
    <w:rsid w:val="00236EC5"/>
    <w:rsid w:val="00237488"/>
    <w:rsid w:val="0024200E"/>
    <w:rsid w:val="0024276D"/>
    <w:rsid w:val="002434FE"/>
    <w:rsid w:val="00246971"/>
    <w:rsid w:val="0025048E"/>
    <w:rsid w:val="002518A0"/>
    <w:rsid w:val="0025361B"/>
    <w:rsid w:val="002549E3"/>
    <w:rsid w:val="00256480"/>
    <w:rsid w:val="00256ECF"/>
    <w:rsid w:val="002576D5"/>
    <w:rsid w:val="002577BC"/>
    <w:rsid w:val="00257E50"/>
    <w:rsid w:val="00260CB6"/>
    <w:rsid w:val="00263884"/>
    <w:rsid w:val="00263BD9"/>
    <w:rsid w:val="00266007"/>
    <w:rsid w:val="00266143"/>
    <w:rsid w:val="00267313"/>
    <w:rsid w:val="002745A2"/>
    <w:rsid w:val="00274D45"/>
    <w:rsid w:val="00277843"/>
    <w:rsid w:val="00277FF9"/>
    <w:rsid w:val="00280962"/>
    <w:rsid w:val="002811EB"/>
    <w:rsid w:val="002815F9"/>
    <w:rsid w:val="00282EE0"/>
    <w:rsid w:val="00283032"/>
    <w:rsid w:val="0028469B"/>
    <w:rsid w:val="00284B13"/>
    <w:rsid w:val="00285197"/>
    <w:rsid w:val="00286A3B"/>
    <w:rsid w:val="00290600"/>
    <w:rsid w:val="00290C3B"/>
    <w:rsid w:val="0029519F"/>
    <w:rsid w:val="00296789"/>
    <w:rsid w:val="002A37FF"/>
    <w:rsid w:val="002A4118"/>
    <w:rsid w:val="002A51D9"/>
    <w:rsid w:val="002A5A6A"/>
    <w:rsid w:val="002A6618"/>
    <w:rsid w:val="002A76E2"/>
    <w:rsid w:val="002B0598"/>
    <w:rsid w:val="002B1290"/>
    <w:rsid w:val="002B2032"/>
    <w:rsid w:val="002B4149"/>
    <w:rsid w:val="002B734C"/>
    <w:rsid w:val="002B74A7"/>
    <w:rsid w:val="002C1B04"/>
    <w:rsid w:val="002C2807"/>
    <w:rsid w:val="002C3854"/>
    <w:rsid w:val="002C3AF0"/>
    <w:rsid w:val="002C6700"/>
    <w:rsid w:val="002C7AF0"/>
    <w:rsid w:val="002D189D"/>
    <w:rsid w:val="002D37A6"/>
    <w:rsid w:val="002D4EAF"/>
    <w:rsid w:val="002D6AA4"/>
    <w:rsid w:val="002D796B"/>
    <w:rsid w:val="002E2512"/>
    <w:rsid w:val="002E4127"/>
    <w:rsid w:val="002E4DCB"/>
    <w:rsid w:val="002E7CEC"/>
    <w:rsid w:val="002F0326"/>
    <w:rsid w:val="002F3310"/>
    <w:rsid w:val="002F39AF"/>
    <w:rsid w:val="002F5BA3"/>
    <w:rsid w:val="002F76A9"/>
    <w:rsid w:val="00300C5D"/>
    <w:rsid w:val="0030199C"/>
    <w:rsid w:val="0030214D"/>
    <w:rsid w:val="003036EF"/>
    <w:rsid w:val="00304636"/>
    <w:rsid w:val="00304B2E"/>
    <w:rsid w:val="00305B0B"/>
    <w:rsid w:val="00306699"/>
    <w:rsid w:val="003077BB"/>
    <w:rsid w:val="00307CED"/>
    <w:rsid w:val="003104B4"/>
    <w:rsid w:val="00311717"/>
    <w:rsid w:val="00316798"/>
    <w:rsid w:val="00316BE6"/>
    <w:rsid w:val="00320844"/>
    <w:rsid w:val="003208AD"/>
    <w:rsid w:val="00321398"/>
    <w:rsid w:val="00321CAD"/>
    <w:rsid w:val="00323368"/>
    <w:rsid w:val="00324B22"/>
    <w:rsid w:val="0032573E"/>
    <w:rsid w:val="00325B75"/>
    <w:rsid w:val="00325E8B"/>
    <w:rsid w:val="00330050"/>
    <w:rsid w:val="003311AB"/>
    <w:rsid w:val="00332343"/>
    <w:rsid w:val="003341DA"/>
    <w:rsid w:val="00336BF9"/>
    <w:rsid w:val="00336EF9"/>
    <w:rsid w:val="003378F4"/>
    <w:rsid w:val="00337CAB"/>
    <w:rsid w:val="00340A07"/>
    <w:rsid w:val="00341638"/>
    <w:rsid w:val="00343DA3"/>
    <w:rsid w:val="00344941"/>
    <w:rsid w:val="00344D39"/>
    <w:rsid w:val="00346F22"/>
    <w:rsid w:val="0035362D"/>
    <w:rsid w:val="00354102"/>
    <w:rsid w:val="00354A09"/>
    <w:rsid w:val="00360631"/>
    <w:rsid w:val="003625CC"/>
    <w:rsid w:val="00363F07"/>
    <w:rsid w:val="00365A1F"/>
    <w:rsid w:val="00366499"/>
    <w:rsid w:val="003704B2"/>
    <w:rsid w:val="00371B71"/>
    <w:rsid w:val="003723EB"/>
    <w:rsid w:val="003730B6"/>
    <w:rsid w:val="0037382D"/>
    <w:rsid w:val="00373DED"/>
    <w:rsid w:val="00376A15"/>
    <w:rsid w:val="00376A34"/>
    <w:rsid w:val="00376F1B"/>
    <w:rsid w:val="00377735"/>
    <w:rsid w:val="00377D53"/>
    <w:rsid w:val="00380010"/>
    <w:rsid w:val="00380282"/>
    <w:rsid w:val="003808ED"/>
    <w:rsid w:val="00382DE7"/>
    <w:rsid w:val="00384564"/>
    <w:rsid w:val="00384579"/>
    <w:rsid w:val="00387695"/>
    <w:rsid w:val="00387EA6"/>
    <w:rsid w:val="003901FD"/>
    <w:rsid w:val="003913AB"/>
    <w:rsid w:val="00391610"/>
    <w:rsid w:val="00392872"/>
    <w:rsid w:val="00393985"/>
    <w:rsid w:val="00394533"/>
    <w:rsid w:val="003979D9"/>
    <w:rsid w:val="003A0D10"/>
    <w:rsid w:val="003A188C"/>
    <w:rsid w:val="003A3992"/>
    <w:rsid w:val="003A734B"/>
    <w:rsid w:val="003A7D8C"/>
    <w:rsid w:val="003B590F"/>
    <w:rsid w:val="003B5BDF"/>
    <w:rsid w:val="003B722E"/>
    <w:rsid w:val="003B7E92"/>
    <w:rsid w:val="003C09CF"/>
    <w:rsid w:val="003C4A83"/>
    <w:rsid w:val="003C7CC8"/>
    <w:rsid w:val="003C7FCC"/>
    <w:rsid w:val="003D1133"/>
    <w:rsid w:val="003D1695"/>
    <w:rsid w:val="003D1C45"/>
    <w:rsid w:val="003D1EB8"/>
    <w:rsid w:val="003D2428"/>
    <w:rsid w:val="003D3480"/>
    <w:rsid w:val="003D37C7"/>
    <w:rsid w:val="003D3ED7"/>
    <w:rsid w:val="003D42CB"/>
    <w:rsid w:val="003D46FB"/>
    <w:rsid w:val="003D488B"/>
    <w:rsid w:val="003D6A5F"/>
    <w:rsid w:val="003D7CA2"/>
    <w:rsid w:val="003E002D"/>
    <w:rsid w:val="003E1722"/>
    <w:rsid w:val="003E335A"/>
    <w:rsid w:val="003E488B"/>
    <w:rsid w:val="003E7186"/>
    <w:rsid w:val="003F0347"/>
    <w:rsid w:val="003F0965"/>
    <w:rsid w:val="003F0F0B"/>
    <w:rsid w:val="003F4208"/>
    <w:rsid w:val="003F5004"/>
    <w:rsid w:val="003F7F50"/>
    <w:rsid w:val="00400AC8"/>
    <w:rsid w:val="004011DF"/>
    <w:rsid w:val="004014AD"/>
    <w:rsid w:val="004014B2"/>
    <w:rsid w:val="00403856"/>
    <w:rsid w:val="0040406B"/>
    <w:rsid w:val="00407045"/>
    <w:rsid w:val="004075C5"/>
    <w:rsid w:val="00410669"/>
    <w:rsid w:val="004125B4"/>
    <w:rsid w:val="004141F5"/>
    <w:rsid w:val="004151F7"/>
    <w:rsid w:val="004208C5"/>
    <w:rsid w:val="004216A3"/>
    <w:rsid w:val="00422342"/>
    <w:rsid w:val="00424F4C"/>
    <w:rsid w:val="00426B3D"/>
    <w:rsid w:val="00432094"/>
    <w:rsid w:val="00433450"/>
    <w:rsid w:val="00434781"/>
    <w:rsid w:val="00434D84"/>
    <w:rsid w:val="00435D93"/>
    <w:rsid w:val="00435FD0"/>
    <w:rsid w:val="00436B21"/>
    <w:rsid w:val="00436ED9"/>
    <w:rsid w:val="00437D97"/>
    <w:rsid w:val="004405CC"/>
    <w:rsid w:val="00440A14"/>
    <w:rsid w:val="00440CB4"/>
    <w:rsid w:val="00441FF0"/>
    <w:rsid w:val="00443015"/>
    <w:rsid w:val="00443FBD"/>
    <w:rsid w:val="00446642"/>
    <w:rsid w:val="004473E7"/>
    <w:rsid w:val="004476F5"/>
    <w:rsid w:val="00451BDC"/>
    <w:rsid w:val="00452467"/>
    <w:rsid w:val="00452685"/>
    <w:rsid w:val="00452A9D"/>
    <w:rsid w:val="00453D92"/>
    <w:rsid w:val="004558A4"/>
    <w:rsid w:val="00456813"/>
    <w:rsid w:val="004608BE"/>
    <w:rsid w:val="00461B55"/>
    <w:rsid w:val="00464CD1"/>
    <w:rsid w:val="004652C6"/>
    <w:rsid w:val="00465B8F"/>
    <w:rsid w:val="00466A25"/>
    <w:rsid w:val="0047014F"/>
    <w:rsid w:val="0047070D"/>
    <w:rsid w:val="00471736"/>
    <w:rsid w:val="004718E1"/>
    <w:rsid w:val="0047297D"/>
    <w:rsid w:val="00472A36"/>
    <w:rsid w:val="00473AC3"/>
    <w:rsid w:val="00473D31"/>
    <w:rsid w:val="004809DC"/>
    <w:rsid w:val="0048501D"/>
    <w:rsid w:val="00485F30"/>
    <w:rsid w:val="004860A9"/>
    <w:rsid w:val="004876EB"/>
    <w:rsid w:val="004879F4"/>
    <w:rsid w:val="00493185"/>
    <w:rsid w:val="0049389A"/>
    <w:rsid w:val="00493C25"/>
    <w:rsid w:val="004944BD"/>
    <w:rsid w:val="00495EFC"/>
    <w:rsid w:val="00496EC5"/>
    <w:rsid w:val="00497502"/>
    <w:rsid w:val="004A19D3"/>
    <w:rsid w:val="004A1F6F"/>
    <w:rsid w:val="004A2A33"/>
    <w:rsid w:val="004A305D"/>
    <w:rsid w:val="004A3EEE"/>
    <w:rsid w:val="004A3F18"/>
    <w:rsid w:val="004A4061"/>
    <w:rsid w:val="004A56B7"/>
    <w:rsid w:val="004A5BAC"/>
    <w:rsid w:val="004B1333"/>
    <w:rsid w:val="004B2611"/>
    <w:rsid w:val="004B323F"/>
    <w:rsid w:val="004B480A"/>
    <w:rsid w:val="004B50EF"/>
    <w:rsid w:val="004C29A6"/>
    <w:rsid w:val="004C311A"/>
    <w:rsid w:val="004C3AEB"/>
    <w:rsid w:val="004C5245"/>
    <w:rsid w:val="004C628C"/>
    <w:rsid w:val="004C7C6B"/>
    <w:rsid w:val="004D210B"/>
    <w:rsid w:val="004D2A1B"/>
    <w:rsid w:val="004D2CC8"/>
    <w:rsid w:val="004D588D"/>
    <w:rsid w:val="004D7F36"/>
    <w:rsid w:val="004E276F"/>
    <w:rsid w:val="004E530C"/>
    <w:rsid w:val="004F01B0"/>
    <w:rsid w:val="004F037B"/>
    <w:rsid w:val="004F0ACE"/>
    <w:rsid w:val="004F21F2"/>
    <w:rsid w:val="004F23FF"/>
    <w:rsid w:val="004F2E6A"/>
    <w:rsid w:val="004F3EBC"/>
    <w:rsid w:val="004F6793"/>
    <w:rsid w:val="004F6CDF"/>
    <w:rsid w:val="004F6ED1"/>
    <w:rsid w:val="004F7040"/>
    <w:rsid w:val="004F740D"/>
    <w:rsid w:val="004F74C0"/>
    <w:rsid w:val="005011F6"/>
    <w:rsid w:val="005035AC"/>
    <w:rsid w:val="00505820"/>
    <w:rsid w:val="00506EE8"/>
    <w:rsid w:val="00506FF3"/>
    <w:rsid w:val="00507DB9"/>
    <w:rsid w:val="00507EA6"/>
    <w:rsid w:val="0051238E"/>
    <w:rsid w:val="00512C0B"/>
    <w:rsid w:val="005146CF"/>
    <w:rsid w:val="00515A01"/>
    <w:rsid w:val="00516477"/>
    <w:rsid w:val="0052046B"/>
    <w:rsid w:val="005231FA"/>
    <w:rsid w:val="005231FD"/>
    <w:rsid w:val="00523B21"/>
    <w:rsid w:val="0052474A"/>
    <w:rsid w:val="00524973"/>
    <w:rsid w:val="00525522"/>
    <w:rsid w:val="00525EC1"/>
    <w:rsid w:val="00530940"/>
    <w:rsid w:val="00531034"/>
    <w:rsid w:val="00531AF2"/>
    <w:rsid w:val="00531D80"/>
    <w:rsid w:val="00531E3E"/>
    <w:rsid w:val="00531E57"/>
    <w:rsid w:val="00532ED6"/>
    <w:rsid w:val="0053308D"/>
    <w:rsid w:val="00536782"/>
    <w:rsid w:val="0053682B"/>
    <w:rsid w:val="00540E5B"/>
    <w:rsid w:val="00541146"/>
    <w:rsid w:val="0054146F"/>
    <w:rsid w:val="0054324E"/>
    <w:rsid w:val="00545FCC"/>
    <w:rsid w:val="00554099"/>
    <w:rsid w:val="005558EA"/>
    <w:rsid w:val="005572C1"/>
    <w:rsid w:val="005621F1"/>
    <w:rsid w:val="005628D4"/>
    <w:rsid w:val="00562D54"/>
    <w:rsid w:val="005630EC"/>
    <w:rsid w:val="00565D71"/>
    <w:rsid w:val="00570B4E"/>
    <w:rsid w:val="005713F6"/>
    <w:rsid w:val="00571F66"/>
    <w:rsid w:val="00573071"/>
    <w:rsid w:val="00573EE6"/>
    <w:rsid w:val="005766D2"/>
    <w:rsid w:val="005800D7"/>
    <w:rsid w:val="00580DE6"/>
    <w:rsid w:val="00580FAC"/>
    <w:rsid w:val="0058228F"/>
    <w:rsid w:val="00583438"/>
    <w:rsid w:val="00585624"/>
    <w:rsid w:val="00586681"/>
    <w:rsid w:val="00586D58"/>
    <w:rsid w:val="00587BD6"/>
    <w:rsid w:val="00594D78"/>
    <w:rsid w:val="00595376"/>
    <w:rsid w:val="0059537B"/>
    <w:rsid w:val="00595398"/>
    <w:rsid w:val="00596F89"/>
    <w:rsid w:val="005971E3"/>
    <w:rsid w:val="00597D31"/>
    <w:rsid w:val="005A14EC"/>
    <w:rsid w:val="005A2A6F"/>
    <w:rsid w:val="005A3BCA"/>
    <w:rsid w:val="005A6554"/>
    <w:rsid w:val="005A6562"/>
    <w:rsid w:val="005B06C0"/>
    <w:rsid w:val="005B16FB"/>
    <w:rsid w:val="005B2F32"/>
    <w:rsid w:val="005B35C9"/>
    <w:rsid w:val="005B35CB"/>
    <w:rsid w:val="005B43B3"/>
    <w:rsid w:val="005B5812"/>
    <w:rsid w:val="005C0E39"/>
    <w:rsid w:val="005C544F"/>
    <w:rsid w:val="005D0A7B"/>
    <w:rsid w:val="005D2D78"/>
    <w:rsid w:val="005D3F61"/>
    <w:rsid w:val="005D5675"/>
    <w:rsid w:val="005E1148"/>
    <w:rsid w:val="005E5AFC"/>
    <w:rsid w:val="005E6277"/>
    <w:rsid w:val="005E634E"/>
    <w:rsid w:val="005E6C04"/>
    <w:rsid w:val="005F01C3"/>
    <w:rsid w:val="005F142B"/>
    <w:rsid w:val="005F25CC"/>
    <w:rsid w:val="005F2A7D"/>
    <w:rsid w:val="005F2BC0"/>
    <w:rsid w:val="005F3626"/>
    <w:rsid w:val="005F4E55"/>
    <w:rsid w:val="005F59FE"/>
    <w:rsid w:val="005F7503"/>
    <w:rsid w:val="005F7D24"/>
    <w:rsid w:val="00600770"/>
    <w:rsid w:val="00601095"/>
    <w:rsid w:val="006024F5"/>
    <w:rsid w:val="006029A8"/>
    <w:rsid w:val="00603C41"/>
    <w:rsid w:val="00605343"/>
    <w:rsid w:val="0060589A"/>
    <w:rsid w:val="00606CF0"/>
    <w:rsid w:val="0061046F"/>
    <w:rsid w:val="006110B8"/>
    <w:rsid w:val="00612C78"/>
    <w:rsid w:val="0061345A"/>
    <w:rsid w:val="00613809"/>
    <w:rsid w:val="00613C11"/>
    <w:rsid w:val="00613E89"/>
    <w:rsid w:val="00615413"/>
    <w:rsid w:val="00615DEB"/>
    <w:rsid w:val="00616710"/>
    <w:rsid w:val="006168DF"/>
    <w:rsid w:val="00616AE5"/>
    <w:rsid w:val="00617649"/>
    <w:rsid w:val="00622986"/>
    <w:rsid w:val="006239A9"/>
    <w:rsid w:val="0062436A"/>
    <w:rsid w:val="00624749"/>
    <w:rsid w:val="00630419"/>
    <w:rsid w:val="006322DA"/>
    <w:rsid w:val="00632CAA"/>
    <w:rsid w:val="00633944"/>
    <w:rsid w:val="00633EC6"/>
    <w:rsid w:val="00634791"/>
    <w:rsid w:val="00635672"/>
    <w:rsid w:val="00636622"/>
    <w:rsid w:val="0063667C"/>
    <w:rsid w:val="00637F42"/>
    <w:rsid w:val="00640F52"/>
    <w:rsid w:val="00642774"/>
    <w:rsid w:val="006434DF"/>
    <w:rsid w:val="006474A3"/>
    <w:rsid w:val="00651D61"/>
    <w:rsid w:val="00653C62"/>
    <w:rsid w:val="00653DDB"/>
    <w:rsid w:val="00653EF9"/>
    <w:rsid w:val="00654FDE"/>
    <w:rsid w:val="00665505"/>
    <w:rsid w:val="006655C2"/>
    <w:rsid w:val="00666772"/>
    <w:rsid w:val="00666FD3"/>
    <w:rsid w:val="0067186B"/>
    <w:rsid w:val="00671B7E"/>
    <w:rsid w:val="00673E0F"/>
    <w:rsid w:val="00675194"/>
    <w:rsid w:val="006768C3"/>
    <w:rsid w:val="00676BD4"/>
    <w:rsid w:val="00680849"/>
    <w:rsid w:val="00681566"/>
    <w:rsid w:val="00681E84"/>
    <w:rsid w:val="00682287"/>
    <w:rsid w:val="00683FA0"/>
    <w:rsid w:val="00684418"/>
    <w:rsid w:val="0068671F"/>
    <w:rsid w:val="006876CC"/>
    <w:rsid w:val="006901BC"/>
    <w:rsid w:val="00695792"/>
    <w:rsid w:val="006961F7"/>
    <w:rsid w:val="006A18F3"/>
    <w:rsid w:val="006A267E"/>
    <w:rsid w:val="006A4B8C"/>
    <w:rsid w:val="006A687D"/>
    <w:rsid w:val="006A7981"/>
    <w:rsid w:val="006B539B"/>
    <w:rsid w:val="006B6A35"/>
    <w:rsid w:val="006C1100"/>
    <w:rsid w:val="006C2413"/>
    <w:rsid w:val="006C2DC9"/>
    <w:rsid w:val="006C3E8E"/>
    <w:rsid w:val="006D0E48"/>
    <w:rsid w:val="006D11B6"/>
    <w:rsid w:val="006D4C58"/>
    <w:rsid w:val="006D7290"/>
    <w:rsid w:val="006E06D2"/>
    <w:rsid w:val="006E1325"/>
    <w:rsid w:val="006E356E"/>
    <w:rsid w:val="006E533F"/>
    <w:rsid w:val="006E7B3A"/>
    <w:rsid w:val="006F1FC3"/>
    <w:rsid w:val="006F20C0"/>
    <w:rsid w:val="006F248E"/>
    <w:rsid w:val="006F27BD"/>
    <w:rsid w:val="006F3B69"/>
    <w:rsid w:val="006F4A5A"/>
    <w:rsid w:val="006F4D46"/>
    <w:rsid w:val="006F62AA"/>
    <w:rsid w:val="00700DFC"/>
    <w:rsid w:val="00700E84"/>
    <w:rsid w:val="00701ECB"/>
    <w:rsid w:val="00703460"/>
    <w:rsid w:val="00703982"/>
    <w:rsid w:val="0070498D"/>
    <w:rsid w:val="00704E23"/>
    <w:rsid w:val="00707044"/>
    <w:rsid w:val="00707098"/>
    <w:rsid w:val="00707F0E"/>
    <w:rsid w:val="00707F1F"/>
    <w:rsid w:val="00710CF5"/>
    <w:rsid w:val="00712669"/>
    <w:rsid w:val="00713481"/>
    <w:rsid w:val="0071367E"/>
    <w:rsid w:val="00713ED0"/>
    <w:rsid w:val="00717DE5"/>
    <w:rsid w:val="007215AC"/>
    <w:rsid w:val="00722D43"/>
    <w:rsid w:val="00722D6D"/>
    <w:rsid w:val="00723680"/>
    <w:rsid w:val="00724D71"/>
    <w:rsid w:val="00725675"/>
    <w:rsid w:val="00726B83"/>
    <w:rsid w:val="00726F74"/>
    <w:rsid w:val="007272DB"/>
    <w:rsid w:val="00730625"/>
    <w:rsid w:val="007309C3"/>
    <w:rsid w:val="00733190"/>
    <w:rsid w:val="0073393D"/>
    <w:rsid w:val="00733AB7"/>
    <w:rsid w:val="00735BD0"/>
    <w:rsid w:val="0073604B"/>
    <w:rsid w:val="00736380"/>
    <w:rsid w:val="007367A8"/>
    <w:rsid w:val="00736F5C"/>
    <w:rsid w:val="00737A01"/>
    <w:rsid w:val="0074170C"/>
    <w:rsid w:val="00742AE2"/>
    <w:rsid w:val="00742C90"/>
    <w:rsid w:val="00743190"/>
    <w:rsid w:val="00743BED"/>
    <w:rsid w:val="00744D48"/>
    <w:rsid w:val="00745082"/>
    <w:rsid w:val="00745A48"/>
    <w:rsid w:val="00745C88"/>
    <w:rsid w:val="00751B3F"/>
    <w:rsid w:val="007523BD"/>
    <w:rsid w:val="00752852"/>
    <w:rsid w:val="0075442B"/>
    <w:rsid w:val="0075569D"/>
    <w:rsid w:val="00756601"/>
    <w:rsid w:val="00757DB4"/>
    <w:rsid w:val="0076017C"/>
    <w:rsid w:val="007604CD"/>
    <w:rsid w:val="007633C3"/>
    <w:rsid w:val="00763E14"/>
    <w:rsid w:val="00764289"/>
    <w:rsid w:val="007653CC"/>
    <w:rsid w:val="00765BB0"/>
    <w:rsid w:val="00765C15"/>
    <w:rsid w:val="007663B4"/>
    <w:rsid w:val="00767D94"/>
    <w:rsid w:val="00770396"/>
    <w:rsid w:val="007704C9"/>
    <w:rsid w:val="007706BB"/>
    <w:rsid w:val="007710EA"/>
    <w:rsid w:val="00771E2A"/>
    <w:rsid w:val="00773C25"/>
    <w:rsid w:val="0077402F"/>
    <w:rsid w:val="00775410"/>
    <w:rsid w:val="0077755E"/>
    <w:rsid w:val="00777564"/>
    <w:rsid w:val="00777C2D"/>
    <w:rsid w:val="00780CE8"/>
    <w:rsid w:val="007831A0"/>
    <w:rsid w:val="0078606B"/>
    <w:rsid w:val="007863A7"/>
    <w:rsid w:val="00790121"/>
    <w:rsid w:val="007905F4"/>
    <w:rsid w:val="007917A9"/>
    <w:rsid w:val="00791E01"/>
    <w:rsid w:val="00794504"/>
    <w:rsid w:val="00794A2D"/>
    <w:rsid w:val="007974E8"/>
    <w:rsid w:val="007A0046"/>
    <w:rsid w:val="007A1A7A"/>
    <w:rsid w:val="007A30A6"/>
    <w:rsid w:val="007A3692"/>
    <w:rsid w:val="007A60B5"/>
    <w:rsid w:val="007B119C"/>
    <w:rsid w:val="007B252D"/>
    <w:rsid w:val="007B2DDA"/>
    <w:rsid w:val="007B3E3B"/>
    <w:rsid w:val="007B5165"/>
    <w:rsid w:val="007B7038"/>
    <w:rsid w:val="007C0220"/>
    <w:rsid w:val="007C03A9"/>
    <w:rsid w:val="007C0645"/>
    <w:rsid w:val="007C0DB8"/>
    <w:rsid w:val="007C1059"/>
    <w:rsid w:val="007C25D0"/>
    <w:rsid w:val="007C4B59"/>
    <w:rsid w:val="007C5D47"/>
    <w:rsid w:val="007C7EFE"/>
    <w:rsid w:val="007D04EA"/>
    <w:rsid w:val="007D067D"/>
    <w:rsid w:val="007D119B"/>
    <w:rsid w:val="007D1411"/>
    <w:rsid w:val="007D21B5"/>
    <w:rsid w:val="007D5B23"/>
    <w:rsid w:val="007D786B"/>
    <w:rsid w:val="007E0C39"/>
    <w:rsid w:val="007E0E10"/>
    <w:rsid w:val="007E2073"/>
    <w:rsid w:val="007E219B"/>
    <w:rsid w:val="007E292B"/>
    <w:rsid w:val="007E2ED7"/>
    <w:rsid w:val="007E2FE2"/>
    <w:rsid w:val="007E4AD5"/>
    <w:rsid w:val="007E5BF7"/>
    <w:rsid w:val="007E6D94"/>
    <w:rsid w:val="007F0C5E"/>
    <w:rsid w:val="007F1314"/>
    <w:rsid w:val="007F19DF"/>
    <w:rsid w:val="007F1A49"/>
    <w:rsid w:val="007F32AB"/>
    <w:rsid w:val="007F5C61"/>
    <w:rsid w:val="007F6E84"/>
    <w:rsid w:val="00800EBD"/>
    <w:rsid w:val="0081210B"/>
    <w:rsid w:val="00813CAF"/>
    <w:rsid w:val="00815C04"/>
    <w:rsid w:val="00815C36"/>
    <w:rsid w:val="0082180C"/>
    <w:rsid w:val="00821F09"/>
    <w:rsid w:val="00822C67"/>
    <w:rsid w:val="00822F63"/>
    <w:rsid w:val="00823BC2"/>
    <w:rsid w:val="00825CC9"/>
    <w:rsid w:val="00825CE7"/>
    <w:rsid w:val="00827D35"/>
    <w:rsid w:val="0083172C"/>
    <w:rsid w:val="00831CC6"/>
    <w:rsid w:val="0083287B"/>
    <w:rsid w:val="00832E30"/>
    <w:rsid w:val="00833C02"/>
    <w:rsid w:val="00834C0F"/>
    <w:rsid w:val="008353EB"/>
    <w:rsid w:val="00837F9F"/>
    <w:rsid w:val="008403CB"/>
    <w:rsid w:val="0084058E"/>
    <w:rsid w:val="0084129B"/>
    <w:rsid w:val="00841E8F"/>
    <w:rsid w:val="0084378B"/>
    <w:rsid w:val="00843ABA"/>
    <w:rsid w:val="008447A2"/>
    <w:rsid w:val="00845C3D"/>
    <w:rsid w:val="00846281"/>
    <w:rsid w:val="00847D19"/>
    <w:rsid w:val="008516E9"/>
    <w:rsid w:val="00853888"/>
    <w:rsid w:val="0086058F"/>
    <w:rsid w:val="00861538"/>
    <w:rsid w:val="0086161E"/>
    <w:rsid w:val="00862577"/>
    <w:rsid w:val="008648F0"/>
    <w:rsid w:val="0086706A"/>
    <w:rsid w:val="00867871"/>
    <w:rsid w:val="00875016"/>
    <w:rsid w:val="0087556B"/>
    <w:rsid w:val="00876DE3"/>
    <w:rsid w:val="008773C9"/>
    <w:rsid w:val="00877B38"/>
    <w:rsid w:val="00877F2A"/>
    <w:rsid w:val="0088108D"/>
    <w:rsid w:val="00881F68"/>
    <w:rsid w:val="0088235E"/>
    <w:rsid w:val="00882E24"/>
    <w:rsid w:val="00884E52"/>
    <w:rsid w:val="008852AD"/>
    <w:rsid w:val="00885948"/>
    <w:rsid w:val="008865C5"/>
    <w:rsid w:val="0088707B"/>
    <w:rsid w:val="008879AC"/>
    <w:rsid w:val="0089064C"/>
    <w:rsid w:val="00890D0F"/>
    <w:rsid w:val="00892736"/>
    <w:rsid w:val="00892FEB"/>
    <w:rsid w:val="008934B0"/>
    <w:rsid w:val="008955CC"/>
    <w:rsid w:val="00895EAE"/>
    <w:rsid w:val="008963A1"/>
    <w:rsid w:val="008A0FF3"/>
    <w:rsid w:val="008A2644"/>
    <w:rsid w:val="008A2F88"/>
    <w:rsid w:val="008A3558"/>
    <w:rsid w:val="008A62CC"/>
    <w:rsid w:val="008A6964"/>
    <w:rsid w:val="008A7E69"/>
    <w:rsid w:val="008B0195"/>
    <w:rsid w:val="008B0901"/>
    <w:rsid w:val="008B32BA"/>
    <w:rsid w:val="008B3477"/>
    <w:rsid w:val="008B67F7"/>
    <w:rsid w:val="008B7435"/>
    <w:rsid w:val="008C01C8"/>
    <w:rsid w:val="008C0DD3"/>
    <w:rsid w:val="008C0E4D"/>
    <w:rsid w:val="008C1C55"/>
    <w:rsid w:val="008C20CE"/>
    <w:rsid w:val="008C2B14"/>
    <w:rsid w:val="008C3C0A"/>
    <w:rsid w:val="008C4C73"/>
    <w:rsid w:val="008C5C02"/>
    <w:rsid w:val="008D1FDF"/>
    <w:rsid w:val="008D68C4"/>
    <w:rsid w:val="008E1041"/>
    <w:rsid w:val="008E1365"/>
    <w:rsid w:val="008E1EA5"/>
    <w:rsid w:val="008E31F5"/>
    <w:rsid w:val="008E34F0"/>
    <w:rsid w:val="008E3A3E"/>
    <w:rsid w:val="008E3CCA"/>
    <w:rsid w:val="008E5C88"/>
    <w:rsid w:val="008E63D7"/>
    <w:rsid w:val="008E73CD"/>
    <w:rsid w:val="008E75DD"/>
    <w:rsid w:val="008F1A27"/>
    <w:rsid w:val="008F283A"/>
    <w:rsid w:val="008F2C33"/>
    <w:rsid w:val="008F3DF9"/>
    <w:rsid w:val="008F53EA"/>
    <w:rsid w:val="00900461"/>
    <w:rsid w:val="00902E0B"/>
    <w:rsid w:val="009053A0"/>
    <w:rsid w:val="009066F5"/>
    <w:rsid w:val="009069B2"/>
    <w:rsid w:val="00910201"/>
    <w:rsid w:val="0091043C"/>
    <w:rsid w:val="00910A27"/>
    <w:rsid w:val="00912152"/>
    <w:rsid w:val="009125DD"/>
    <w:rsid w:val="009127B0"/>
    <w:rsid w:val="00916527"/>
    <w:rsid w:val="0091723D"/>
    <w:rsid w:val="009176BD"/>
    <w:rsid w:val="00921857"/>
    <w:rsid w:val="00921AC1"/>
    <w:rsid w:val="00922EC6"/>
    <w:rsid w:val="00924D8A"/>
    <w:rsid w:val="009265C1"/>
    <w:rsid w:val="00930910"/>
    <w:rsid w:val="009347D9"/>
    <w:rsid w:val="00934DAA"/>
    <w:rsid w:val="00934F6E"/>
    <w:rsid w:val="0093665E"/>
    <w:rsid w:val="00937311"/>
    <w:rsid w:val="0094002D"/>
    <w:rsid w:val="00940F35"/>
    <w:rsid w:val="00942369"/>
    <w:rsid w:val="00943CC9"/>
    <w:rsid w:val="00944140"/>
    <w:rsid w:val="009443F5"/>
    <w:rsid w:val="009447F9"/>
    <w:rsid w:val="00946043"/>
    <w:rsid w:val="009476E7"/>
    <w:rsid w:val="00950325"/>
    <w:rsid w:val="009529BC"/>
    <w:rsid w:val="00952CD5"/>
    <w:rsid w:val="00953D6C"/>
    <w:rsid w:val="009556D2"/>
    <w:rsid w:val="00956F56"/>
    <w:rsid w:val="00957872"/>
    <w:rsid w:val="009607E6"/>
    <w:rsid w:val="00960E79"/>
    <w:rsid w:val="009657D6"/>
    <w:rsid w:val="00965C42"/>
    <w:rsid w:val="00967587"/>
    <w:rsid w:val="00967700"/>
    <w:rsid w:val="00974313"/>
    <w:rsid w:val="00974A39"/>
    <w:rsid w:val="00975443"/>
    <w:rsid w:val="009769AF"/>
    <w:rsid w:val="00976CA6"/>
    <w:rsid w:val="00977997"/>
    <w:rsid w:val="00977D89"/>
    <w:rsid w:val="00982B56"/>
    <w:rsid w:val="00984359"/>
    <w:rsid w:val="00984F5F"/>
    <w:rsid w:val="00986C66"/>
    <w:rsid w:val="0098739F"/>
    <w:rsid w:val="00987EA0"/>
    <w:rsid w:val="009909B5"/>
    <w:rsid w:val="00993DD9"/>
    <w:rsid w:val="009A04A3"/>
    <w:rsid w:val="009A1F4A"/>
    <w:rsid w:val="009A2FAC"/>
    <w:rsid w:val="009A3FD5"/>
    <w:rsid w:val="009A5222"/>
    <w:rsid w:val="009A6750"/>
    <w:rsid w:val="009A6D9B"/>
    <w:rsid w:val="009A736E"/>
    <w:rsid w:val="009A7473"/>
    <w:rsid w:val="009A75F9"/>
    <w:rsid w:val="009A760E"/>
    <w:rsid w:val="009B2EBA"/>
    <w:rsid w:val="009B317E"/>
    <w:rsid w:val="009B33AC"/>
    <w:rsid w:val="009B3865"/>
    <w:rsid w:val="009B3921"/>
    <w:rsid w:val="009B4B76"/>
    <w:rsid w:val="009B519A"/>
    <w:rsid w:val="009B5D0A"/>
    <w:rsid w:val="009B5F81"/>
    <w:rsid w:val="009B78D8"/>
    <w:rsid w:val="009C3D53"/>
    <w:rsid w:val="009C56B3"/>
    <w:rsid w:val="009C72EF"/>
    <w:rsid w:val="009D090B"/>
    <w:rsid w:val="009D191C"/>
    <w:rsid w:val="009D2719"/>
    <w:rsid w:val="009D7305"/>
    <w:rsid w:val="009E2319"/>
    <w:rsid w:val="009E2C1F"/>
    <w:rsid w:val="009E3545"/>
    <w:rsid w:val="009E67D7"/>
    <w:rsid w:val="009F0147"/>
    <w:rsid w:val="009F0985"/>
    <w:rsid w:val="009F1FBD"/>
    <w:rsid w:val="009F33D9"/>
    <w:rsid w:val="009F4D4F"/>
    <w:rsid w:val="009F7551"/>
    <w:rsid w:val="00A0026F"/>
    <w:rsid w:val="00A01AEE"/>
    <w:rsid w:val="00A01DEE"/>
    <w:rsid w:val="00A02474"/>
    <w:rsid w:val="00A07EA3"/>
    <w:rsid w:val="00A10BE9"/>
    <w:rsid w:val="00A12041"/>
    <w:rsid w:val="00A17F32"/>
    <w:rsid w:val="00A201B8"/>
    <w:rsid w:val="00A21395"/>
    <w:rsid w:val="00A24180"/>
    <w:rsid w:val="00A256FF"/>
    <w:rsid w:val="00A30CA0"/>
    <w:rsid w:val="00A312F8"/>
    <w:rsid w:val="00A315C7"/>
    <w:rsid w:val="00A32E79"/>
    <w:rsid w:val="00A36675"/>
    <w:rsid w:val="00A404D6"/>
    <w:rsid w:val="00A42CC7"/>
    <w:rsid w:val="00A438B3"/>
    <w:rsid w:val="00A46B94"/>
    <w:rsid w:val="00A46C2A"/>
    <w:rsid w:val="00A47AC1"/>
    <w:rsid w:val="00A506C4"/>
    <w:rsid w:val="00A50921"/>
    <w:rsid w:val="00A51471"/>
    <w:rsid w:val="00A52CF7"/>
    <w:rsid w:val="00A53007"/>
    <w:rsid w:val="00A53244"/>
    <w:rsid w:val="00A55C2E"/>
    <w:rsid w:val="00A57710"/>
    <w:rsid w:val="00A6122A"/>
    <w:rsid w:val="00A629B8"/>
    <w:rsid w:val="00A64313"/>
    <w:rsid w:val="00A655A5"/>
    <w:rsid w:val="00A65EB9"/>
    <w:rsid w:val="00A7223B"/>
    <w:rsid w:val="00A7243C"/>
    <w:rsid w:val="00A731CB"/>
    <w:rsid w:val="00A75457"/>
    <w:rsid w:val="00A7580D"/>
    <w:rsid w:val="00A766EA"/>
    <w:rsid w:val="00A77AAD"/>
    <w:rsid w:val="00A8021A"/>
    <w:rsid w:val="00A83EEB"/>
    <w:rsid w:val="00A841E1"/>
    <w:rsid w:val="00A8446D"/>
    <w:rsid w:val="00A84FF5"/>
    <w:rsid w:val="00A879D4"/>
    <w:rsid w:val="00A925EC"/>
    <w:rsid w:val="00A92AE7"/>
    <w:rsid w:val="00A93BC8"/>
    <w:rsid w:val="00A951D8"/>
    <w:rsid w:val="00A952BD"/>
    <w:rsid w:val="00A960FD"/>
    <w:rsid w:val="00A962FB"/>
    <w:rsid w:val="00A96B58"/>
    <w:rsid w:val="00A9728A"/>
    <w:rsid w:val="00AA07D2"/>
    <w:rsid w:val="00AA0B15"/>
    <w:rsid w:val="00AA0F85"/>
    <w:rsid w:val="00AA1AF0"/>
    <w:rsid w:val="00AA1C70"/>
    <w:rsid w:val="00AA2A3E"/>
    <w:rsid w:val="00AA2B2B"/>
    <w:rsid w:val="00AA2C27"/>
    <w:rsid w:val="00AA2C9A"/>
    <w:rsid w:val="00AA30BA"/>
    <w:rsid w:val="00AA387E"/>
    <w:rsid w:val="00AA4284"/>
    <w:rsid w:val="00AA4686"/>
    <w:rsid w:val="00AA69E7"/>
    <w:rsid w:val="00AA7217"/>
    <w:rsid w:val="00AA77EB"/>
    <w:rsid w:val="00AB0D4D"/>
    <w:rsid w:val="00AB147D"/>
    <w:rsid w:val="00AB20DD"/>
    <w:rsid w:val="00AB33D0"/>
    <w:rsid w:val="00AB4258"/>
    <w:rsid w:val="00AB4519"/>
    <w:rsid w:val="00AB4685"/>
    <w:rsid w:val="00AB493C"/>
    <w:rsid w:val="00AB4F6B"/>
    <w:rsid w:val="00AB61B4"/>
    <w:rsid w:val="00AB70D6"/>
    <w:rsid w:val="00AC0086"/>
    <w:rsid w:val="00AC1BF6"/>
    <w:rsid w:val="00AC1F2D"/>
    <w:rsid w:val="00AC27A6"/>
    <w:rsid w:val="00AC3C06"/>
    <w:rsid w:val="00AC3DAB"/>
    <w:rsid w:val="00AC4C9B"/>
    <w:rsid w:val="00AC5E73"/>
    <w:rsid w:val="00AC6422"/>
    <w:rsid w:val="00AC6AD9"/>
    <w:rsid w:val="00AC6EA9"/>
    <w:rsid w:val="00AD032C"/>
    <w:rsid w:val="00AD1497"/>
    <w:rsid w:val="00AD1EDF"/>
    <w:rsid w:val="00AD5794"/>
    <w:rsid w:val="00AD57B5"/>
    <w:rsid w:val="00AD5AB9"/>
    <w:rsid w:val="00AD5D53"/>
    <w:rsid w:val="00AD68E0"/>
    <w:rsid w:val="00AE06CD"/>
    <w:rsid w:val="00AE0997"/>
    <w:rsid w:val="00AE1CE6"/>
    <w:rsid w:val="00AE224D"/>
    <w:rsid w:val="00AE34C3"/>
    <w:rsid w:val="00AE3754"/>
    <w:rsid w:val="00AE3801"/>
    <w:rsid w:val="00AE46C3"/>
    <w:rsid w:val="00AE58F2"/>
    <w:rsid w:val="00AE628A"/>
    <w:rsid w:val="00AE70A7"/>
    <w:rsid w:val="00AE7614"/>
    <w:rsid w:val="00AE7744"/>
    <w:rsid w:val="00AE7F31"/>
    <w:rsid w:val="00AF0F8B"/>
    <w:rsid w:val="00AF1BE0"/>
    <w:rsid w:val="00AF3E96"/>
    <w:rsid w:val="00AF55EB"/>
    <w:rsid w:val="00B01178"/>
    <w:rsid w:val="00B018C4"/>
    <w:rsid w:val="00B024F9"/>
    <w:rsid w:val="00B0350F"/>
    <w:rsid w:val="00B04379"/>
    <w:rsid w:val="00B05477"/>
    <w:rsid w:val="00B05FD7"/>
    <w:rsid w:val="00B06CCE"/>
    <w:rsid w:val="00B07874"/>
    <w:rsid w:val="00B116C1"/>
    <w:rsid w:val="00B121B8"/>
    <w:rsid w:val="00B13296"/>
    <w:rsid w:val="00B13832"/>
    <w:rsid w:val="00B144AB"/>
    <w:rsid w:val="00B17C3A"/>
    <w:rsid w:val="00B2003D"/>
    <w:rsid w:val="00B2212B"/>
    <w:rsid w:val="00B25448"/>
    <w:rsid w:val="00B259BA"/>
    <w:rsid w:val="00B2698A"/>
    <w:rsid w:val="00B26D3E"/>
    <w:rsid w:val="00B27EBA"/>
    <w:rsid w:val="00B32F84"/>
    <w:rsid w:val="00B33CF6"/>
    <w:rsid w:val="00B36C7C"/>
    <w:rsid w:val="00B36F8E"/>
    <w:rsid w:val="00B37AFF"/>
    <w:rsid w:val="00B40625"/>
    <w:rsid w:val="00B4142F"/>
    <w:rsid w:val="00B41DD4"/>
    <w:rsid w:val="00B436BC"/>
    <w:rsid w:val="00B437EF"/>
    <w:rsid w:val="00B438C4"/>
    <w:rsid w:val="00B44238"/>
    <w:rsid w:val="00B50873"/>
    <w:rsid w:val="00B52102"/>
    <w:rsid w:val="00B5212A"/>
    <w:rsid w:val="00B53986"/>
    <w:rsid w:val="00B53F2F"/>
    <w:rsid w:val="00B54410"/>
    <w:rsid w:val="00B6066B"/>
    <w:rsid w:val="00B61157"/>
    <w:rsid w:val="00B63192"/>
    <w:rsid w:val="00B636ED"/>
    <w:rsid w:val="00B65F2E"/>
    <w:rsid w:val="00B66A6E"/>
    <w:rsid w:val="00B70BD2"/>
    <w:rsid w:val="00B71CF3"/>
    <w:rsid w:val="00B720CB"/>
    <w:rsid w:val="00B733E0"/>
    <w:rsid w:val="00B75D03"/>
    <w:rsid w:val="00B7620F"/>
    <w:rsid w:val="00B76A1B"/>
    <w:rsid w:val="00B76E1B"/>
    <w:rsid w:val="00B8017E"/>
    <w:rsid w:val="00B80526"/>
    <w:rsid w:val="00B8070E"/>
    <w:rsid w:val="00B80AE7"/>
    <w:rsid w:val="00B825B7"/>
    <w:rsid w:val="00B83995"/>
    <w:rsid w:val="00B83F72"/>
    <w:rsid w:val="00B84264"/>
    <w:rsid w:val="00B846B8"/>
    <w:rsid w:val="00B847DA"/>
    <w:rsid w:val="00B87065"/>
    <w:rsid w:val="00B90744"/>
    <w:rsid w:val="00B90C73"/>
    <w:rsid w:val="00B952B3"/>
    <w:rsid w:val="00B96F92"/>
    <w:rsid w:val="00B9764B"/>
    <w:rsid w:val="00B9796A"/>
    <w:rsid w:val="00B97BCB"/>
    <w:rsid w:val="00B97F09"/>
    <w:rsid w:val="00BA1CAB"/>
    <w:rsid w:val="00BA3029"/>
    <w:rsid w:val="00BA3A38"/>
    <w:rsid w:val="00BA3B7E"/>
    <w:rsid w:val="00BA4654"/>
    <w:rsid w:val="00BA4F82"/>
    <w:rsid w:val="00BA5B5A"/>
    <w:rsid w:val="00BA6844"/>
    <w:rsid w:val="00BA7647"/>
    <w:rsid w:val="00BA77FB"/>
    <w:rsid w:val="00BB0BAC"/>
    <w:rsid w:val="00BB1567"/>
    <w:rsid w:val="00BB1942"/>
    <w:rsid w:val="00BB2224"/>
    <w:rsid w:val="00BB39FF"/>
    <w:rsid w:val="00BB48D7"/>
    <w:rsid w:val="00BB6E2B"/>
    <w:rsid w:val="00BB7A89"/>
    <w:rsid w:val="00BC021B"/>
    <w:rsid w:val="00BC05ED"/>
    <w:rsid w:val="00BC1320"/>
    <w:rsid w:val="00BC17DF"/>
    <w:rsid w:val="00BC1B94"/>
    <w:rsid w:val="00BC4ABB"/>
    <w:rsid w:val="00BC5178"/>
    <w:rsid w:val="00BC55C9"/>
    <w:rsid w:val="00BC5FBF"/>
    <w:rsid w:val="00BC612F"/>
    <w:rsid w:val="00BC7870"/>
    <w:rsid w:val="00BD3171"/>
    <w:rsid w:val="00BD36A1"/>
    <w:rsid w:val="00BD5B89"/>
    <w:rsid w:val="00BD7C82"/>
    <w:rsid w:val="00BE0239"/>
    <w:rsid w:val="00BE1AC0"/>
    <w:rsid w:val="00BE2609"/>
    <w:rsid w:val="00BE3AA2"/>
    <w:rsid w:val="00BE5F7E"/>
    <w:rsid w:val="00BE6DB1"/>
    <w:rsid w:val="00BF0BA5"/>
    <w:rsid w:val="00BF1739"/>
    <w:rsid w:val="00BF2DF8"/>
    <w:rsid w:val="00BF2F9E"/>
    <w:rsid w:val="00BF48C9"/>
    <w:rsid w:val="00BF6DF3"/>
    <w:rsid w:val="00C0007F"/>
    <w:rsid w:val="00C003CF"/>
    <w:rsid w:val="00C006EF"/>
    <w:rsid w:val="00C02151"/>
    <w:rsid w:val="00C025E1"/>
    <w:rsid w:val="00C02BF1"/>
    <w:rsid w:val="00C03ABC"/>
    <w:rsid w:val="00C059F9"/>
    <w:rsid w:val="00C063A1"/>
    <w:rsid w:val="00C07FD4"/>
    <w:rsid w:val="00C1065C"/>
    <w:rsid w:val="00C110FA"/>
    <w:rsid w:val="00C129AB"/>
    <w:rsid w:val="00C20DBB"/>
    <w:rsid w:val="00C21FC2"/>
    <w:rsid w:val="00C22D82"/>
    <w:rsid w:val="00C22DCB"/>
    <w:rsid w:val="00C2344B"/>
    <w:rsid w:val="00C260C3"/>
    <w:rsid w:val="00C27B84"/>
    <w:rsid w:val="00C309F3"/>
    <w:rsid w:val="00C3265A"/>
    <w:rsid w:val="00C3302D"/>
    <w:rsid w:val="00C34332"/>
    <w:rsid w:val="00C354DF"/>
    <w:rsid w:val="00C35E5E"/>
    <w:rsid w:val="00C3624F"/>
    <w:rsid w:val="00C40A86"/>
    <w:rsid w:val="00C41C90"/>
    <w:rsid w:val="00C461FF"/>
    <w:rsid w:val="00C46EC9"/>
    <w:rsid w:val="00C51216"/>
    <w:rsid w:val="00C5145B"/>
    <w:rsid w:val="00C51FCA"/>
    <w:rsid w:val="00C536D3"/>
    <w:rsid w:val="00C539F6"/>
    <w:rsid w:val="00C53A9F"/>
    <w:rsid w:val="00C557BA"/>
    <w:rsid w:val="00C57B77"/>
    <w:rsid w:val="00C616FF"/>
    <w:rsid w:val="00C6504E"/>
    <w:rsid w:val="00C65E62"/>
    <w:rsid w:val="00C722F8"/>
    <w:rsid w:val="00C7345D"/>
    <w:rsid w:val="00C739B5"/>
    <w:rsid w:val="00C74598"/>
    <w:rsid w:val="00C7513B"/>
    <w:rsid w:val="00C771ED"/>
    <w:rsid w:val="00C774E4"/>
    <w:rsid w:val="00C80AAE"/>
    <w:rsid w:val="00C83A7B"/>
    <w:rsid w:val="00C84820"/>
    <w:rsid w:val="00C84E4F"/>
    <w:rsid w:val="00C84EBB"/>
    <w:rsid w:val="00C8515B"/>
    <w:rsid w:val="00C86271"/>
    <w:rsid w:val="00C87920"/>
    <w:rsid w:val="00C90FE7"/>
    <w:rsid w:val="00C91DD2"/>
    <w:rsid w:val="00C92340"/>
    <w:rsid w:val="00C92B11"/>
    <w:rsid w:val="00C934AC"/>
    <w:rsid w:val="00C941FB"/>
    <w:rsid w:val="00C96328"/>
    <w:rsid w:val="00C972F7"/>
    <w:rsid w:val="00C978C6"/>
    <w:rsid w:val="00CA0110"/>
    <w:rsid w:val="00CA0125"/>
    <w:rsid w:val="00CA1DCE"/>
    <w:rsid w:val="00CA302F"/>
    <w:rsid w:val="00CA3723"/>
    <w:rsid w:val="00CA418C"/>
    <w:rsid w:val="00CA456A"/>
    <w:rsid w:val="00CA4A02"/>
    <w:rsid w:val="00CA6940"/>
    <w:rsid w:val="00CB1A21"/>
    <w:rsid w:val="00CB2903"/>
    <w:rsid w:val="00CB2D0C"/>
    <w:rsid w:val="00CB479F"/>
    <w:rsid w:val="00CB4810"/>
    <w:rsid w:val="00CB7474"/>
    <w:rsid w:val="00CB74C4"/>
    <w:rsid w:val="00CC2DE6"/>
    <w:rsid w:val="00CC65F5"/>
    <w:rsid w:val="00CC7C43"/>
    <w:rsid w:val="00CD2861"/>
    <w:rsid w:val="00CD3759"/>
    <w:rsid w:val="00CD6F89"/>
    <w:rsid w:val="00CD75E8"/>
    <w:rsid w:val="00CD7B2D"/>
    <w:rsid w:val="00CE0AA3"/>
    <w:rsid w:val="00CE3AF5"/>
    <w:rsid w:val="00CE3D5F"/>
    <w:rsid w:val="00CE437F"/>
    <w:rsid w:val="00CE48A0"/>
    <w:rsid w:val="00CE5184"/>
    <w:rsid w:val="00CE53F1"/>
    <w:rsid w:val="00CE57AA"/>
    <w:rsid w:val="00CE6489"/>
    <w:rsid w:val="00CE6553"/>
    <w:rsid w:val="00CE75B4"/>
    <w:rsid w:val="00CE7CB0"/>
    <w:rsid w:val="00CF1B2D"/>
    <w:rsid w:val="00CF28B3"/>
    <w:rsid w:val="00CF299A"/>
    <w:rsid w:val="00CF63EE"/>
    <w:rsid w:val="00CF7CEC"/>
    <w:rsid w:val="00D00000"/>
    <w:rsid w:val="00D010C9"/>
    <w:rsid w:val="00D017E6"/>
    <w:rsid w:val="00D02D7D"/>
    <w:rsid w:val="00D041AE"/>
    <w:rsid w:val="00D048EE"/>
    <w:rsid w:val="00D06873"/>
    <w:rsid w:val="00D11E9A"/>
    <w:rsid w:val="00D22355"/>
    <w:rsid w:val="00D242BC"/>
    <w:rsid w:val="00D27340"/>
    <w:rsid w:val="00D315D1"/>
    <w:rsid w:val="00D34094"/>
    <w:rsid w:val="00D34682"/>
    <w:rsid w:val="00D35F3F"/>
    <w:rsid w:val="00D363D1"/>
    <w:rsid w:val="00D36ECC"/>
    <w:rsid w:val="00D42A27"/>
    <w:rsid w:val="00D42B1B"/>
    <w:rsid w:val="00D44981"/>
    <w:rsid w:val="00D45949"/>
    <w:rsid w:val="00D4607A"/>
    <w:rsid w:val="00D4764D"/>
    <w:rsid w:val="00D47C8A"/>
    <w:rsid w:val="00D50B3D"/>
    <w:rsid w:val="00D541FB"/>
    <w:rsid w:val="00D54EF7"/>
    <w:rsid w:val="00D606AB"/>
    <w:rsid w:val="00D615A3"/>
    <w:rsid w:val="00D62DA8"/>
    <w:rsid w:val="00D6316E"/>
    <w:rsid w:val="00D63F91"/>
    <w:rsid w:val="00D7275B"/>
    <w:rsid w:val="00D72F7A"/>
    <w:rsid w:val="00D73D41"/>
    <w:rsid w:val="00D75397"/>
    <w:rsid w:val="00D8064F"/>
    <w:rsid w:val="00D847CB"/>
    <w:rsid w:val="00D86513"/>
    <w:rsid w:val="00D871CD"/>
    <w:rsid w:val="00D909D0"/>
    <w:rsid w:val="00D92813"/>
    <w:rsid w:val="00D954B6"/>
    <w:rsid w:val="00D96834"/>
    <w:rsid w:val="00D976B4"/>
    <w:rsid w:val="00D9776A"/>
    <w:rsid w:val="00D97BC0"/>
    <w:rsid w:val="00D97D6D"/>
    <w:rsid w:val="00D97E79"/>
    <w:rsid w:val="00DA1163"/>
    <w:rsid w:val="00DA23C9"/>
    <w:rsid w:val="00DA23E2"/>
    <w:rsid w:val="00DA4656"/>
    <w:rsid w:val="00DA47F9"/>
    <w:rsid w:val="00DA68B3"/>
    <w:rsid w:val="00DA6DFE"/>
    <w:rsid w:val="00DA74EF"/>
    <w:rsid w:val="00DA79B0"/>
    <w:rsid w:val="00DB1747"/>
    <w:rsid w:val="00DB3CD6"/>
    <w:rsid w:val="00DB51BC"/>
    <w:rsid w:val="00DB6EB5"/>
    <w:rsid w:val="00DB7DBF"/>
    <w:rsid w:val="00DC0185"/>
    <w:rsid w:val="00DC029D"/>
    <w:rsid w:val="00DC0550"/>
    <w:rsid w:val="00DC77B2"/>
    <w:rsid w:val="00DD0A9D"/>
    <w:rsid w:val="00DD3E6D"/>
    <w:rsid w:val="00DD6470"/>
    <w:rsid w:val="00DD745E"/>
    <w:rsid w:val="00DE018D"/>
    <w:rsid w:val="00DE130B"/>
    <w:rsid w:val="00DE158B"/>
    <w:rsid w:val="00DE2B47"/>
    <w:rsid w:val="00DE4228"/>
    <w:rsid w:val="00DE463C"/>
    <w:rsid w:val="00DE623F"/>
    <w:rsid w:val="00DE6304"/>
    <w:rsid w:val="00DE63DB"/>
    <w:rsid w:val="00DE6FB5"/>
    <w:rsid w:val="00DE7FC4"/>
    <w:rsid w:val="00DF020D"/>
    <w:rsid w:val="00DF35D2"/>
    <w:rsid w:val="00E00E40"/>
    <w:rsid w:val="00E018A2"/>
    <w:rsid w:val="00E03E15"/>
    <w:rsid w:val="00E03E50"/>
    <w:rsid w:val="00E0428E"/>
    <w:rsid w:val="00E04CE5"/>
    <w:rsid w:val="00E06BFC"/>
    <w:rsid w:val="00E078B2"/>
    <w:rsid w:val="00E1209D"/>
    <w:rsid w:val="00E124B4"/>
    <w:rsid w:val="00E12595"/>
    <w:rsid w:val="00E14CF8"/>
    <w:rsid w:val="00E165B6"/>
    <w:rsid w:val="00E175B8"/>
    <w:rsid w:val="00E178E6"/>
    <w:rsid w:val="00E17AB9"/>
    <w:rsid w:val="00E20692"/>
    <w:rsid w:val="00E211A8"/>
    <w:rsid w:val="00E21879"/>
    <w:rsid w:val="00E21B79"/>
    <w:rsid w:val="00E23E48"/>
    <w:rsid w:val="00E27BA0"/>
    <w:rsid w:val="00E309EE"/>
    <w:rsid w:val="00E330FD"/>
    <w:rsid w:val="00E33537"/>
    <w:rsid w:val="00E3384E"/>
    <w:rsid w:val="00E340B8"/>
    <w:rsid w:val="00E35337"/>
    <w:rsid w:val="00E377BF"/>
    <w:rsid w:val="00E424D9"/>
    <w:rsid w:val="00E4255A"/>
    <w:rsid w:val="00E449A0"/>
    <w:rsid w:val="00E46346"/>
    <w:rsid w:val="00E464C2"/>
    <w:rsid w:val="00E4703F"/>
    <w:rsid w:val="00E51551"/>
    <w:rsid w:val="00E51AA9"/>
    <w:rsid w:val="00E52457"/>
    <w:rsid w:val="00E5252B"/>
    <w:rsid w:val="00E52CEE"/>
    <w:rsid w:val="00E5684E"/>
    <w:rsid w:val="00E57630"/>
    <w:rsid w:val="00E600DA"/>
    <w:rsid w:val="00E602D5"/>
    <w:rsid w:val="00E60C6B"/>
    <w:rsid w:val="00E617CC"/>
    <w:rsid w:val="00E63292"/>
    <w:rsid w:val="00E669E2"/>
    <w:rsid w:val="00E70619"/>
    <w:rsid w:val="00E7394E"/>
    <w:rsid w:val="00E73E9A"/>
    <w:rsid w:val="00E803A2"/>
    <w:rsid w:val="00E80E8F"/>
    <w:rsid w:val="00E84B30"/>
    <w:rsid w:val="00E861DB"/>
    <w:rsid w:val="00E86E0C"/>
    <w:rsid w:val="00E86EA5"/>
    <w:rsid w:val="00E913FE"/>
    <w:rsid w:val="00E91484"/>
    <w:rsid w:val="00E91958"/>
    <w:rsid w:val="00E92BAB"/>
    <w:rsid w:val="00E95C63"/>
    <w:rsid w:val="00E96776"/>
    <w:rsid w:val="00E968C3"/>
    <w:rsid w:val="00E96AEA"/>
    <w:rsid w:val="00E96B31"/>
    <w:rsid w:val="00E96C5F"/>
    <w:rsid w:val="00E97D92"/>
    <w:rsid w:val="00EA2683"/>
    <w:rsid w:val="00EA324D"/>
    <w:rsid w:val="00EA35C7"/>
    <w:rsid w:val="00EA46F1"/>
    <w:rsid w:val="00EB04F1"/>
    <w:rsid w:val="00EB0E1A"/>
    <w:rsid w:val="00EB1785"/>
    <w:rsid w:val="00EB2303"/>
    <w:rsid w:val="00EB26D9"/>
    <w:rsid w:val="00EB436D"/>
    <w:rsid w:val="00EB6461"/>
    <w:rsid w:val="00EB77A1"/>
    <w:rsid w:val="00EC01C5"/>
    <w:rsid w:val="00EC026C"/>
    <w:rsid w:val="00EC04E3"/>
    <w:rsid w:val="00EC1604"/>
    <w:rsid w:val="00EC179D"/>
    <w:rsid w:val="00EC1CA6"/>
    <w:rsid w:val="00EC3D1F"/>
    <w:rsid w:val="00EC4DEE"/>
    <w:rsid w:val="00EC68BC"/>
    <w:rsid w:val="00EC6AB1"/>
    <w:rsid w:val="00EC7DBB"/>
    <w:rsid w:val="00ED1173"/>
    <w:rsid w:val="00ED16B0"/>
    <w:rsid w:val="00ED1E9F"/>
    <w:rsid w:val="00ED3024"/>
    <w:rsid w:val="00ED35DD"/>
    <w:rsid w:val="00ED53FA"/>
    <w:rsid w:val="00ED558A"/>
    <w:rsid w:val="00ED79AA"/>
    <w:rsid w:val="00EE29BC"/>
    <w:rsid w:val="00EE447E"/>
    <w:rsid w:val="00EF087B"/>
    <w:rsid w:val="00EF3A59"/>
    <w:rsid w:val="00EF3B8A"/>
    <w:rsid w:val="00EF3E28"/>
    <w:rsid w:val="00EF459E"/>
    <w:rsid w:val="00EF7239"/>
    <w:rsid w:val="00EF7462"/>
    <w:rsid w:val="00EF76F5"/>
    <w:rsid w:val="00F015E1"/>
    <w:rsid w:val="00F03114"/>
    <w:rsid w:val="00F0377A"/>
    <w:rsid w:val="00F07468"/>
    <w:rsid w:val="00F07783"/>
    <w:rsid w:val="00F1096C"/>
    <w:rsid w:val="00F12FB2"/>
    <w:rsid w:val="00F134D7"/>
    <w:rsid w:val="00F13500"/>
    <w:rsid w:val="00F16DB5"/>
    <w:rsid w:val="00F203BF"/>
    <w:rsid w:val="00F214E0"/>
    <w:rsid w:val="00F21BAB"/>
    <w:rsid w:val="00F21F56"/>
    <w:rsid w:val="00F22EB1"/>
    <w:rsid w:val="00F236EE"/>
    <w:rsid w:val="00F245E7"/>
    <w:rsid w:val="00F261E1"/>
    <w:rsid w:val="00F32B7B"/>
    <w:rsid w:val="00F3306A"/>
    <w:rsid w:val="00F33A2C"/>
    <w:rsid w:val="00F3559B"/>
    <w:rsid w:val="00F420B7"/>
    <w:rsid w:val="00F42DA3"/>
    <w:rsid w:val="00F435D0"/>
    <w:rsid w:val="00F43F62"/>
    <w:rsid w:val="00F45537"/>
    <w:rsid w:val="00F45663"/>
    <w:rsid w:val="00F45785"/>
    <w:rsid w:val="00F47626"/>
    <w:rsid w:val="00F51222"/>
    <w:rsid w:val="00F521A3"/>
    <w:rsid w:val="00F54845"/>
    <w:rsid w:val="00F54CEE"/>
    <w:rsid w:val="00F54F92"/>
    <w:rsid w:val="00F554AB"/>
    <w:rsid w:val="00F570A8"/>
    <w:rsid w:val="00F57719"/>
    <w:rsid w:val="00F633C7"/>
    <w:rsid w:val="00F636DD"/>
    <w:rsid w:val="00F6613F"/>
    <w:rsid w:val="00F71D97"/>
    <w:rsid w:val="00F7425C"/>
    <w:rsid w:val="00F75035"/>
    <w:rsid w:val="00F767A1"/>
    <w:rsid w:val="00F81D67"/>
    <w:rsid w:val="00F81F89"/>
    <w:rsid w:val="00F82F17"/>
    <w:rsid w:val="00F82F6D"/>
    <w:rsid w:val="00F83583"/>
    <w:rsid w:val="00F85750"/>
    <w:rsid w:val="00F85D18"/>
    <w:rsid w:val="00F90097"/>
    <w:rsid w:val="00F907BB"/>
    <w:rsid w:val="00F9369E"/>
    <w:rsid w:val="00F93B52"/>
    <w:rsid w:val="00F942F5"/>
    <w:rsid w:val="00F97AB2"/>
    <w:rsid w:val="00F97D0B"/>
    <w:rsid w:val="00FA0400"/>
    <w:rsid w:val="00FA0B31"/>
    <w:rsid w:val="00FA161A"/>
    <w:rsid w:val="00FA16C5"/>
    <w:rsid w:val="00FA1790"/>
    <w:rsid w:val="00FA1FB7"/>
    <w:rsid w:val="00FA2A48"/>
    <w:rsid w:val="00FA2A57"/>
    <w:rsid w:val="00FA40DF"/>
    <w:rsid w:val="00FA586D"/>
    <w:rsid w:val="00FA7A0F"/>
    <w:rsid w:val="00FA7D28"/>
    <w:rsid w:val="00FA7E06"/>
    <w:rsid w:val="00FB11A2"/>
    <w:rsid w:val="00FB19D4"/>
    <w:rsid w:val="00FB38AD"/>
    <w:rsid w:val="00FB597C"/>
    <w:rsid w:val="00FC2FAE"/>
    <w:rsid w:val="00FC4EE9"/>
    <w:rsid w:val="00FD0B67"/>
    <w:rsid w:val="00FD480B"/>
    <w:rsid w:val="00FD4A24"/>
    <w:rsid w:val="00FD5DBE"/>
    <w:rsid w:val="00FE04D0"/>
    <w:rsid w:val="00FE069B"/>
    <w:rsid w:val="00FE4451"/>
    <w:rsid w:val="00FE49FB"/>
    <w:rsid w:val="00FE4C00"/>
    <w:rsid w:val="00FE6D9C"/>
    <w:rsid w:val="00FF05D8"/>
    <w:rsid w:val="00FF1E1F"/>
    <w:rsid w:val="00FF3121"/>
    <w:rsid w:val="00FF357B"/>
    <w:rsid w:val="00FF3CC2"/>
    <w:rsid w:val="00FF3F4B"/>
    <w:rsid w:val="00FF65B8"/>
    <w:rsid w:val="00FF7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E42A"/>
  <w15:chartTrackingRefBased/>
  <w15:docId w15:val="{6650C8CD-9750-4935-AF82-C40DE350E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035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54A0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54A09"/>
    <w:rPr>
      <w:rFonts w:ascii="Times New Roman" w:eastAsia="Times New Roman" w:hAnsi="Times New Roman" w:cs="Times New Roman"/>
      <w:b/>
      <w:bCs/>
      <w:sz w:val="27"/>
      <w:szCs w:val="27"/>
    </w:rPr>
  </w:style>
  <w:style w:type="character" w:customStyle="1" w:styleId="moduledate-text">
    <w:name w:val="module_date-text"/>
    <w:basedOn w:val="DefaultParagraphFont"/>
    <w:rsid w:val="00354A09"/>
  </w:style>
  <w:style w:type="character" w:styleId="Hyperlink">
    <w:name w:val="Hyperlink"/>
    <w:basedOn w:val="DefaultParagraphFont"/>
    <w:uiPriority w:val="99"/>
    <w:unhideWhenUsed/>
    <w:rsid w:val="00354A09"/>
    <w:rPr>
      <w:color w:val="0000FF"/>
      <w:u w:val="single"/>
    </w:rPr>
  </w:style>
  <w:style w:type="character" w:customStyle="1" w:styleId="modulelink-text">
    <w:name w:val="module_link-text"/>
    <w:basedOn w:val="DefaultParagraphFont"/>
    <w:rsid w:val="00354A09"/>
  </w:style>
  <w:style w:type="character" w:customStyle="1" w:styleId="sr-only">
    <w:name w:val="sr-only"/>
    <w:basedOn w:val="DefaultParagraphFont"/>
    <w:rsid w:val="00354A09"/>
  </w:style>
  <w:style w:type="paragraph" w:styleId="NormalWeb">
    <w:name w:val="Normal (Web)"/>
    <w:basedOn w:val="Normal"/>
    <w:uiPriority w:val="99"/>
    <w:unhideWhenUsed/>
    <w:rsid w:val="00354A0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4A09"/>
    <w:rPr>
      <w:b/>
      <w:bCs/>
    </w:rPr>
  </w:style>
  <w:style w:type="character" w:styleId="Emphasis">
    <w:name w:val="Emphasis"/>
    <w:basedOn w:val="DefaultParagraphFont"/>
    <w:uiPriority w:val="20"/>
    <w:qFormat/>
    <w:rsid w:val="00354A09"/>
    <w:rPr>
      <w:i/>
      <w:iCs/>
    </w:rPr>
  </w:style>
  <w:style w:type="paragraph" w:styleId="ListParagraph">
    <w:name w:val="List Paragraph"/>
    <w:basedOn w:val="Normal"/>
    <w:qFormat/>
    <w:rsid w:val="00354A09"/>
    <w:pPr>
      <w:ind w:left="720"/>
      <w:contextualSpacing/>
    </w:pPr>
  </w:style>
  <w:style w:type="character" w:customStyle="1" w:styleId="UnresolvedMention1">
    <w:name w:val="Unresolved Mention1"/>
    <w:basedOn w:val="DefaultParagraphFont"/>
    <w:uiPriority w:val="99"/>
    <w:semiHidden/>
    <w:unhideWhenUsed/>
    <w:rsid w:val="00354A09"/>
    <w:rPr>
      <w:color w:val="605E5C"/>
      <w:shd w:val="clear" w:color="auto" w:fill="E1DFDD"/>
    </w:rPr>
  </w:style>
  <w:style w:type="paragraph" w:styleId="Revision">
    <w:name w:val="Revision"/>
    <w:hidden/>
    <w:uiPriority w:val="99"/>
    <w:semiHidden/>
    <w:rsid w:val="00354A09"/>
    <w:pPr>
      <w:spacing w:after="0" w:line="240" w:lineRule="auto"/>
    </w:pPr>
  </w:style>
  <w:style w:type="character" w:styleId="CommentReference">
    <w:name w:val="annotation reference"/>
    <w:basedOn w:val="DefaultParagraphFont"/>
    <w:uiPriority w:val="99"/>
    <w:semiHidden/>
    <w:unhideWhenUsed/>
    <w:rsid w:val="00354A09"/>
    <w:rPr>
      <w:sz w:val="16"/>
      <w:szCs w:val="16"/>
    </w:rPr>
  </w:style>
  <w:style w:type="paragraph" w:styleId="CommentText">
    <w:name w:val="annotation text"/>
    <w:basedOn w:val="Normal"/>
    <w:link w:val="CommentTextChar"/>
    <w:uiPriority w:val="99"/>
    <w:unhideWhenUsed/>
    <w:rsid w:val="00354A09"/>
    <w:pPr>
      <w:spacing w:line="240" w:lineRule="auto"/>
    </w:pPr>
    <w:rPr>
      <w:sz w:val="20"/>
      <w:szCs w:val="20"/>
    </w:rPr>
  </w:style>
  <w:style w:type="character" w:customStyle="1" w:styleId="CommentTextChar">
    <w:name w:val="Comment Text Char"/>
    <w:basedOn w:val="DefaultParagraphFont"/>
    <w:link w:val="CommentText"/>
    <w:uiPriority w:val="99"/>
    <w:rsid w:val="00354A09"/>
    <w:rPr>
      <w:sz w:val="20"/>
      <w:szCs w:val="20"/>
    </w:rPr>
  </w:style>
  <w:style w:type="paragraph" w:styleId="CommentSubject">
    <w:name w:val="annotation subject"/>
    <w:basedOn w:val="CommentText"/>
    <w:next w:val="CommentText"/>
    <w:link w:val="CommentSubjectChar"/>
    <w:uiPriority w:val="99"/>
    <w:semiHidden/>
    <w:unhideWhenUsed/>
    <w:rsid w:val="00354A09"/>
    <w:rPr>
      <w:b/>
      <w:bCs/>
    </w:rPr>
  </w:style>
  <w:style w:type="character" w:customStyle="1" w:styleId="CommentSubjectChar">
    <w:name w:val="Comment Subject Char"/>
    <w:basedOn w:val="CommentTextChar"/>
    <w:link w:val="CommentSubject"/>
    <w:uiPriority w:val="99"/>
    <w:semiHidden/>
    <w:rsid w:val="00354A09"/>
    <w:rPr>
      <w:b/>
      <w:bCs/>
      <w:sz w:val="20"/>
      <w:szCs w:val="20"/>
    </w:rPr>
  </w:style>
  <w:style w:type="paragraph" w:styleId="Header">
    <w:name w:val="header"/>
    <w:basedOn w:val="Normal"/>
    <w:link w:val="HeaderChar"/>
    <w:uiPriority w:val="99"/>
    <w:unhideWhenUsed/>
    <w:rsid w:val="00354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A09"/>
  </w:style>
  <w:style w:type="paragraph" w:styleId="Footer">
    <w:name w:val="footer"/>
    <w:basedOn w:val="Normal"/>
    <w:link w:val="FooterChar"/>
    <w:uiPriority w:val="99"/>
    <w:unhideWhenUsed/>
    <w:rsid w:val="00354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A09"/>
  </w:style>
  <w:style w:type="paragraph" w:styleId="BalloonText">
    <w:name w:val="Balloon Text"/>
    <w:basedOn w:val="Normal"/>
    <w:link w:val="BalloonTextChar"/>
    <w:uiPriority w:val="99"/>
    <w:semiHidden/>
    <w:unhideWhenUsed/>
    <w:rsid w:val="00354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A09"/>
    <w:rPr>
      <w:rFonts w:ascii="Segoe UI" w:hAnsi="Segoe UI" w:cs="Segoe UI"/>
      <w:sz w:val="18"/>
      <w:szCs w:val="18"/>
    </w:rPr>
  </w:style>
  <w:style w:type="paragraph" w:styleId="FootnoteText">
    <w:name w:val="footnote text"/>
    <w:basedOn w:val="Normal"/>
    <w:link w:val="FootnoteTextChar"/>
    <w:uiPriority w:val="99"/>
    <w:semiHidden/>
    <w:unhideWhenUsed/>
    <w:rsid w:val="00354A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A09"/>
    <w:rPr>
      <w:sz w:val="20"/>
      <w:szCs w:val="20"/>
    </w:rPr>
  </w:style>
  <w:style w:type="character" w:styleId="FootnoteReference">
    <w:name w:val="footnote reference"/>
    <w:basedOn w:val="DefaultParagraphFont"/>
    <w:uiPriority w:val="99"/>
    <w:semiHidden/>
    <w:unhideWhenUsed/>
    <w:rsid w:val="00354A09"/>
    <w:rPr>
      <w:vertAlign w:val="superscript"/>
    </w:rPr>
  </w:style>
  <w:style w:type="paragraph" w:customStyle="1" w:styleId="xmsonormal">
    <w:name w:val="x_msonormal"/>
    <w:basedOn w:val="Normal"/>
    <w:rsid w:val="00354A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aj7l2vfnj">
    <w:name w:val="markaj7l2vfnj"/>
    <w:basedOn w:val="DefaultParagraphFont"/>
    <w:rsid w:val="00354A09"/>
  </w:style>
  <w:style w:type="character" w:customStyle="1" w:styleId="markrlznt6y6z">
    <w:name w:val="markrlznt6y6z"/>
    <w:basedOn w:val="DefaultParagraphFont"/>
    <w:rsid w:val="00354A09"/>
  </w:style>
  <w:style w:type="table" w:styleId="TableGrid">
    <w:name w:val="Table Grid"/>
    <w:basedOn w:val="TableNormal"/>
    <w:uiPriority w:val="39"/>
    <w:rsid w:val="00354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54A09"/>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354A09"/>
    <w:rPr>
      <w:color w:val="954F72" w:themeColor="followedHyperlink"/>
      <w:u w:val="single"/>
    </w:rPr>
  </w:style>
  <w:style w:type="character" w:styleId="PageNumber">
    <w:name w:val="page number"/>
    <w:basedOn w:val="DefaultParagraphFont"/>
    <w:uiPriority w:val="99"/>
    <w:semiHidden/>
    <w:unhideWhenUsed/>
    <w:rsid w:val="00354A09"/>
  </w:style>
  <w:style w:type="character" w:styleId="UnresolvedMention">
    <w:name w:val="Unresolved Mention"/>
    <w:basedOn w:val="DefaultParagraphFont"/>
    <w:uiPriority w:val="99"/>
    <w:semiHidden/>
    <w:unhideWhenUsed/>
    <w:rsid w:val="00D976B4"/>
    <w:rPr>
      <w:color w:val="605E5C"/>
      <w:shd w:val="clear" w:color="auto" w:fill="E1DFDD"/>
    </w:rPr>
  </w:style>
  <w:style w:type="paragraph" w:styleId="NoSpacing">
    <w:name w:val="No Spacing"/>
    <w:uiPriority w:val="1"/>
    <w:qFormat/>
    <w:rsid w:val="00EB6461"/>
    <w:pPr>
      <w:spacing w:after="0" w:line="240" w:lineRule="auto"/>
    </w:pPr>
  </w:style>
  <w:style w:type="character" w:customStyle="1" w:styleId="Heading2Char">
    <w:name w:val="Heading 2 Char"/>
    <w:basedOn w:val="DefaultParagraphFont"/>
    <w:link w:val="Heading2"/>
    <w:uiPriority w:val="9"/>
    <w:semiHidden/>
    <w:rsid w:val="00B0350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1015">
      <w:bodyDiv w:val="1"/>
      <w:marLeft w:val="0"/>
      <w:marRight w:val="0"/>
      <w:marTop w:val="0"/>
      <w:marBottom w:val="0"/>
      <w:divBdr>
        <w:top w:val="none" w:sz="0" w:space="0" w:color="auto"/>
        <w:left w:val="none" w:sz="0" w:space="0" w:color="auto"/>
        <w:bottom w:val="none" w:sz="0" w:space="0" w:color="auto"/>
        <w:right w:val="none" w:sz="0" w:space="0" w:color="auto"/>
      </w:divBdr>
    </w:div>
    <w:div w:id="27688666">
      <w:bodyDiv w:val="1"/>
      <w:marLeft w:val="0"/>
      <w:marRight w:val="0"/>
      <w:marTop w:val="0"/>
      <w:marBottom w:val="0"/>
      <w:divBdr>
        <w:top w:val="none" w:sz="0" w:space="0" w:color="auto"/>
        <w:left w:val="none" w:sz="0" w:space="0" w:color="auto"/>
        <w:bottom w:val="none" w:sz="0" w:space="0" w:color="auto"/>
        <w:right w:val="none" w:sz="0" w:space="0" w:color="auto"/>
      </w:divBdr>
    </w:div>
    <w:div w:id="70274792">
      <w:bodyDiv w:val="1"/>
      <w:marLeft w:val="0"/>
      <w:marRight w:val="0"/>
      <w:marTop w:val="0"/>
      <w:marBottom w:val="0"/>
      <w:divBdr>
        <w:top w:val="none" w:sz="0" w:space="0" w:color="auto"/>
        <w:left w:val="none" w:sz="0" w:space="0" w:color="auto"/>
        <w:bottom w:val="none" w:sz="0" w:space="0" w:color="auto"/>
        <w:right w:val="none" w:sz="0" w:space="0" w:color="auto"/>
      </w:divBdr>
    </w:div>
    <w:div w:id="74205931">
      <w:bodyDiv w:val="1"/>
      <w:marLeft w:val="0"/>
      <w:marRight w:val="0"/>
      <w:marTop w:val="0"/>
      <w:marBottom w:val="0"/>
      <w:divBdr>
        <w:top w:val="none" w:sz="0" w:space="0" w:color="auto"/>
        <w:left w:val="none" w:sz="0" w:space="0" w:color="auto"/>
        <w:bottom w:val="none" w:sz="0" w:space="0" w:color="auto"/>
        <w:right w:val="none" w:sz="0" w:space="0" w:color="auto"/>
      </w:divBdr>
    </w:div>
    <w:div w:id="77406320">
      <w:bodyDiv w:val="1"/>
      <w:marLeft w:val="0"/>
      <w:marRight w:val="0"/>
      <w:marTop w:val="0"/>
      <w:marBottom w:val="0"/>
      <w:divBdr>
        <w:top w:val="none" w:sz="0" w:space="0" w:color="auto"/>
        <w:left w:val="none" w:sz="0" w:space="0" w:color="auto"/>
        <w:bottom w:val="none" w:sz="0" w:space="0" w:color="auto"/>
        <w:right w:val="none" w:sz="0" w:space="0" w:color="auto"/>
      </w:divBdr>
    </w:div>
    <w:div w:id="154223634">
      <w:bodyDiv w:val="1"/>
      <w:marLeft w:val="0"/>
      <w:marRight w:val="0"/>
      <w:marTop w:val="0"/>
      <w:marBottom w:val="0"/>
      <w:divBdr>
        <w:top w:val="none" w:sz="0" w:space="0" w:color="auto"/>
        <w:left w:val="none" w:sz="0" w:space="0" w:color="auto"/>
        <w:bottom w:val="none" w:sz="0" w:space="0" w:color="auto"/>
        <w:right w:val="none" w:sz="0" w:space="0" w:color="auto"/>
      </w:divBdr>
    </w:div>
    <w:div w:id="163130106">
      <w:bodyDiv w:val="1"/>
      <w:marLeft w:val="0"/>
      <w:marRight w:val="0"/>
      <w:marTop w:val="0"/>
      <w:marBottom w:val="0"/>
      <w:divBdr>
        <w:top w:val="none" w:sz="0" w:space="0" w:color="auto"/>
        <w:left w:val="none" w:sz="0" w:space="0" w:color="auto"/>
        <w:bottom w:val="none" w:sz="0" w:space="0" w:color="auto"/>
        <w:right w:val="none" w:sz="0" w:space="0" w:color="auto"/>
      </w:divBdr>
    </w:div>
    <w:div w:id="166991834">
      <w:bodyDiv w:val="1"/>
      <w:marLeft w:val="0"/>
      <w:marRight w:val="0"/>
      <w:marTop w:val="0"/>
      <w:marBottom w:val="0"/>
      <w:divBdr>
        <w:top w:val="none" w:sz="0" w:space="0" w:color="auto"/>
        <w:left w:val="none" w:sz="0" w:space="0" w:color="auto"/>
        <w:bottom w:val="none" w:sz="0" w:space="0" w:color="auto"/>
        <w:right w:val="none" w:sz="0" w:space="0" w:color="auto"/>
      </w:divBdr>
    </w:div>
    <w:div w:id="179126117">
      <w:bodyDiv w:val="1"/>
      <w:marLeft w:val="0"/>
      <w:marRight w:val="0"/>
      <w:marTop w:val="0"/>
      <w:marBottom w:val="0"/>
      <w:divBdr>
        <w:top w:val="none" w:sz="0" w:space="0" w:color="auto"/>
        <w:left w:val="none" w:sz="0" w:space="0" w:color="auto"/>
        <w:bottom w:val="none" w:sz="0" w:space="0" w:color="auto"/>
        <w:right w:val="none" w:sz="0" w:space="0" w:color="auto"/>
      </w:divBdr>
    </w:div>
    <w:div w:id="193271393">
      <w:bodyDiv w:val="1"/>
      <w:marLeft w:val="0"/>
      <w:marRight w:val="0"/>
      <w:marTop w:val="0"/>
      <w:marBottom w:val="0"/>
      <w:divBdr>
        <w:top w:val="none" w:sz="0" w:space="0" w:color="auto"/>
        <w:left w:val="none" w:sz="0" w:space="0" w:color="auto"/>
        <w:bottom w:val="none" w:sz="0" w:space="0" w:color="auto"/>
        <w:right w:val="none" w:sz="0" w:space="0" w:color="auto"/>
      </w:divBdr>
    </w:div>
    <w:div w:id="221406569">
      <w:bodyDiv w:val="1"/>
      <w:marLeft w:val="0"/>
      <w:marRight w:val="0"/>
      <w:marTop w:val="0"/>
      <w:marBottom w:val="0"/>
      <w:divBdr>
        <w:top w:val="none" w:sz="0" w:space="0" w:color="auto"/>
        <w:left w:val="none" w:sz="0" w:space="0" w:color="auto"/>
        <w:bottom w:val="none" w:sz="0" w:space="0" w:color="auto"/>
        <w:right w:val="none" w:sz="0" w:space="0" w:color="auto"/>
      </w:divBdr>
    </w:div>
    <w:div w:id="251742065">
      <w:bodyDiv w:val="1"/>
      <w:marLeft w:val="0"/>
      <w:marRight w:val="0"/>
      <w:marTop w:val="0"/>
      <w:marBottom w:val="0"/>
      <w:divBdr>
        <w:top w:val="none" w:sz="0" w:space="0" w:color="auto"/>
        <w:left w:val="none" w:sz="0" w:space="0" w:color="auto"/>
        <w:bottom w:val="none" w:sz="0" w:space="0" w:color="auto"/>
        <w:right w:val="none" w:sz="0" w:space="0" w:color="auto"/>
      </w:divBdr>
    </w:div>
    <w:div w:id="255868393">
      <w:bodyDiv w:val="1"/>
      <w:marLeft w:val="0"/>
      <w:marRight w:val="0"/>
      <w:marTop w:val="0"/>
      <w:marBottom w:val="0"/>
      <w:divBdr>
        <w:top w:val="none" w:sz="0" w:space="0" w:color="auto"/>
        <w:left w:val="none" w:sz="0" w:space="0" w:color="auto"/>
        <w:bottom w:val="none" w:sz="0" w:space="0" w:color="auto"/>
        <w:right w:val="none" w:sz="0" w:space="0" w:color="auto"/>
      </w:divBdr>
    </w:div>
    <w:div w:id="266084855">
      <w:bodyDiv w:val="1"/>
      <w:marLeft w:val="0"/>
      <w:marRight w:val="0"/>
      <w:marTop w:val="0"/>
      <w:marBottom w:val="0"/>
      <w:divBdr>
        <w:top w:val="none" w:sz="0" w:space="0" w:color="auto"/>
        <w:left w:val="none" w:sz="0" w:space="0" w:color="auto"/>
        <w:bottom w:val="none" w:sz="0" w:space="0" w:color="auto"/>
        <w:right w:val="none" w:sz="0" w:space="0" w:color="auto"/>
      </w:divBdr>
    </w:div>
    <w:div w:id="282269575">
      <w:bodyDiv w:val="1"/>
      <w:marLeft w:val="0"/>
      <w:marRight w:val="0"/>
      <w:marTop w:val="0"/>
      <w:marBottom w:val="0"/>
      <w:divBdr>
        <w:top w:val="none" w:sz="0" w:space="0" w:color="auto"/>
        <w:left w:val="none" w:sz="0" w:space="0" w:color="auto"/>
        <w:bottom w:val="none" w:sz="0" w:space="0" w:color="auto"/>
        <w:right w:val="none" w:sz="0" w:space="0" w:color="auto"/>
      </w:divBdr>
    </w:div>
    <w:div w:id="283392700">
      <w:bodyDiv w:val="1"/>
      <w:marLeft w:val="0"/>
      <w:marRight w:val="0"/>
      <w:marTop w:val="0"/>
      <w:marBottom w:val="0"/>
      <w:divBdr>
        <w:top w:val="none" w:sz="0" w:space="0" w:color="auto"/>
        <w:left w:val="none" w:sz="0" w:space="0" w:color="auto"/>
        <w:bottom w:val="none" w:sz="0" w:space="0" w:color="auto"/>
        <w:right w:val="none" w:sz="0" w:space="0" w:color="auto"/>
      </w:divBdr>
    </w:div>
    <w:div w:id="284430867">
      <w:bodyDiv w:val="1"/>
      <w:marLeft w:val="0"/>
      <w:marRight w:val="0"/>
      <w:marTop w:val="0"/>
      <w:marBottom w:val="0"/>
      <w:divBdr>
        <w:top w:val="none" w:sz="0" w:space="0" w:color="auto"/>
        <w:left w:val="none" w:sz="0" w:space="0" w:color="auto"/>
        <w:bottom w:val="none" w:sz="0" w:space="0" w:color="auto"/>
        <w:right w:val="none" w:sz="0" w:space="0" w:color="auto"/>
      </w:divBdr>
    </w:div>
    <w:div w:id="300966208">
      <w:bodyDiv w:val="1"/>
      <w:marLeft w:val="0"/>
      <w:marRight w:val="0"/>
      <w:marTop w:val="0"/>
      <w:marBottom w:val="0"/>
      <w:divBdr>
        <w:top w:val="none" w:sz="0" w:space="0" w:color="auto"/>
        <w:left w:val="none" w:sz="0" w:space="0" w:color="auto"/>
        <w:bottom w:val="none" w:sz="0" w:space="0" w:color="auto"/>
        <w:right w:val="none" w:sz="0" w:space="0" w:color="auto"/>
      </w:divBdr>
    </w:div>
    <w:div w:id="301929598">
      <w:bodyDiv w:val="1"/>
      <w:marLeft w:val="0"/>
      <w:marRight w:val="0"/>
      <w:marTop w:val="0"/>
      <w:marBottom w:val="0"/>
      <w:divBdr>
        <w:top w:val="none" w:sz="0" w:space="0" w:color="auto"/>
        <w:left w:val="none" w:sz="0" w:space="0" w:color="auto"/>
        <w:bottom w:val="none" w:sz="0" w:space="0" w:color="auto"/>
        <w:right w:val="none" w:sz="0" w:space="0" w:color="auto"/>
      </w:divBdr>
    </w:div>
    <w:div w:id="327253454">
      <w:bodyDiv w:val="1"/>
      <w:marLeft w:val="0"/>
      <w:marRight w:val="0"/>
      <w:marTop w:val="0"/>
      <w:marBottom w:val="0"/>
      <w:divBdr>
        <w:top w:val="none" w:sz="0" w:space="0" w:color="auto"/>
        <w:left w:val="none" w:sz="0" w:space="0" w:color="auto"/>
        <w:bottom w:val="none" w:sz="0" w:space="0" w:color="auto"/>
        <w:right w:val="none" w:sz="0" w:space="0" w:color="auto"/>
      </w:divBdr>
    </w:div>
    <w:div w:id="333533421">
      <w:bodyDiv w:val="1"/>
      <w:marLeft w:val="0"/>
      <w:marRight w:val="0"/>
      <w:marTop w:val="0"/>
      <w:marBottom w:val="0"/>
      <w:divBdr>
        <w:top w:val="none" w:sz="0" w:space="0" w:color="auto"/>
        <w:left w:val="none" w:sz="0" w:space="0" w:color="auto"/>
        <w:bottom w:val="none" w:sz="0" w:space="0" w:color="auto"/>
        <w:right w:val="none" w:sz="0" w:space="0" w:color="auto"/>
      </w:divBdr>
    </w:div>
    <w:div w:id="353576501">
      <w:bodyDiv w:val="1"/>
      <w:marLeft w:val="0"/>
      <w:marRight w:val="0"/>
      <w:marTop w:val="0"/>
      <w:marBottom w:val="0"/>
      <w:divBdr>
        <w:top w:val="none" w:sz="0" w:space="0" w:color="auto"/>
        <w:left w:val="none" w:sz="0" w:space="0" w:color="auto"/>
        <w:bottom w:val="none" w:sz="0" w:space="0" w:color="auto"/>
        <w:right w:val="none" w:sz="0" w:space="0" w:color="auto"/>
      </w:divBdr>
    </w:div>
    <w:div w:id="363285914">
      <w:bodyDiv w:val="1"/>
      <w:marLeft w:val="0"/>
      <w:marRight w:val="0"/>
      <w:marTop w:val="0"/>
      <w:marBottom w:val="0"/>
      <w:divBdr>
        <w:top w:val="none" w:sz="0" w:space="0" w:color="auto"/>
        <w:left w:val="none" w:sz="0" w:space="0" w:color="auto"/>
        <w:bottom w:val="none" w:sz="0" w:space="0" w:color="auto"/>
        <w:right w:val="none" w:sz="0" w:space="0" w:color="auto"/>
      </w:divBdr>
    </w:div>
    <w:div w:id="406420472">
      <w:bodyDiv w:val="1"/>
      <w:marLeft w:val="0"/>
      <w:marRight w:val="0"/>
      <w:marTop w:val="0"/>
      <w:marBottom w:val="0"/>
      <w:divBdr>
        <w:top w:val="none" w:sz="0" w:space="0" w:color="auto"/>
        <w:left w:val="none" w:sz="0" w:space="0" w:color="auto"/>
        <w:bottom w:val="none" w:sz="0" w:space="0" w:color="auto"/>
        <w:right w:val="none" w:sz="0" w:space="0" w:color="auto"/>
      </w:divBdr>
    </w:div>
    <w:div w:id="437529453">
      <w:bodyDiv w:val="1"/>
      <w:marLeft w:val="0"/>
      <w:marRight w:val="0"/>
      <w:marTop w:val="0"/>
      <w:marBottom w:val="0"/>
      <w:divBdr>
        <w:top w:val="none" w:sz="0" w:space="0" w:color="auto"/>
        <w:left w:val="none" w:sz="0" w:space="0" w:color="auto"/>
        <w:bottom w:val="none" w:sz="0" w:space="0" w:color="auto"/>
        <w:right w:val="none" w:sz="0" w:space="0" w:color="auto"/>
      </w:divBdr>
    </w:div>
    <w:div w:id="448935946">
      <w:bodyDiv w:val="1"/>
      <w:marLeft w:val="0"/>
      <w:marRight w:val="0"/>
      <w:marTop w:val="0"/>
      <w:marBottom w:val="0"/>
      <w:divBdr>
        <w:top w:val="none" w:sz="0" w:space="0" w:color="auto"/>
        <w:left w:val="none" w:sz="0" w:space="0" w:color="auto"/>
        <w:bottom w:val="none" w:sz="0" w:space="0" w:color="auto"/>
        <w:right w:val="none" w:sz="0" w:space="0" w:color="auto"/>
      </w:divBdr>
    </w:div>
    <w:div w:id="452359001">
      <w:bodyDiv w:val="1"/>
      <w:marLeft w:val="0"/>
      <w:marRight w:val="0"/>
      <w:marTop w:val="0"/>
      <w:marBottom w:val="0"/>
      <w:divBdr>
        <w:top w:val="none" w:sz="0" w:space="0" w:color="auto"/>
        <w:left w:val="none" w:sz="0" w:space="0" w:color="auto"/>
        <w:bottom w:val="none" w:sz="0" w:space="0" w:color="auto"/>
        <w:right w:val="none" w:sz="0" w:space="0" w:color="auto"/>
      </w:divBdr>
    </w:div>
    <w:div w:id="470249575">
      <w:bodyDiv w:val="1"/>
      <w:marLeft w:val="0"/>
      <w:marRight w:val="0"/>
      <w:marTop w:val="0"/>
      <w:marBottom w:val="0"/>
      <w:divBdr>
        <w:top w:val="none" w:sz="0" w:space="0" w:color="auto"/>
        <w:left w:val="none" w:sz="0" w:space="0" w:color="auto"/>
        <w:bottom w:val="none" w:sz="0" w:space="0" w:color="auto"/>
        <w:right w:val="none" w:sz="0" w:space="0" w:color="auto"/>
      </w:divBdr>
    </w:div>
    <w:div w:id="495653963">
      <w:bodyDiv w:val="1"/>
      <w:marLeft w:val="0"/>
      <w:marRight w:val="0"/>
      <w:marTop w:val="0"/>
      <w:marBottom w:val="0"/>
      <w:divBdr>
        <w:top w:val="none" w:sz="0" w:space="0" w:color="auto"/>
        <w:left w:val="none" w:sz="0" w:space="0" w:color="auto"/>
        <w:bottom w:val="none" w:sz="0" w:space="0" w:color="auto"/>
        <w:right w:val="none" w:sz="0" w:space="0" w:color="auto"/>
      </w:divBdr>
    </w:div>
    <w:div w:id="496116487">
      <w:bodyDiv w:val="1"/>
      <w:marLeft w:val="0"/>
      <w:marRight w:val="0"/>
      <w:marTop w:val="0"/>
      <w:marBottom w:val="0"/>
      <w:divBdr>
        <w:top w:val="none" w:sz="0" w:space="0" w:color="auto"/>
        <w:left w:val="none" w:sz="0" w:space="0" w:color="auto"/>
        <w:bottom w:val="none" w:sz="0" w:space="0" w:color="auto"/>
        <w:right w:val="none" w:sz="0" w:space="0" w:color="auto"/>
      </w:divBdr>
    </w:div>
    <w:div w:id="513111670">
      <w:bodyDiv w:val="1"/>
      <w:marLeft w:val="0"/>
      <w:marRight w:val="0"/>
      <w:marTop w:val="0"/>
      <w:marBottom w:val="0"/>
      <w:divBdr>
        <w:top w:val="none" w:sz="0" w:space="0" w:color="auto"/>
        <w:left w:val="none" w:sz="0" w:space="0" w:color="auto"/>
        <w:bottom w:val="none" w:sz="0" w:space="0" w:color="auto"/>
        <w:right w:val="none" w:sz="0" w:space="0" w:color="auto"/>
      </w:divBdr>
    </w:div>
    <w:div w:id="515199033">
      <w:bodyDiv w:val="1"/>
      <w:marLeft w:val="0"/>
      <w:marRight w:val="0"/>
      <w:marTop w:val="0"/>
      <w:marBottom w:val="0"/>
      <w:divBdr>
        <w:top w:val="none" w:sz="0" w:space="0" w:color="auto"/>
        <w:left w:val="none" w:sz="0" w:space="0" w:color="auto"/>
        <w:bottom w:val="none" w:sz="0" w:space="0" w:color="auto"/>
        <w:right w:val="none" w:sz="0" w:space="0" w:color="auto"/>
      </w:divBdr>
    </w:div>
    <w:div w:id="543711809">
      <w:bodyDiv w:val="1"/>
      <w:marLeft w:val="0"/>
      <w:marRight w:val="0"/>
      <w:marTop w:val="0"/>
      <w:marBottom w:val="0"/>
      <w:divBdr>
        <w:top w:val="none" w:sz="0" w:space="0" w:color="auto"/>
        <w:left w:val="none" w:sz="0" w:space="0" w:color="auto"/>
        <w:bottom w:val="none" w:sz="0" w:space="0" w:color="auto"/>
        <w:right w:val="none" w:sz="0" w:space="0" w:color="auto"/>
      </w:divBdr>
    </w:div>
    <w:div w:id="550112216">
      <w:bodyDiv w:val="1"/>
      <w:marLeft w:val="0"/>
      <w:marRight w:val="0"/>
      <w:marTop w:val="0"/>
      <w:marBottom w:val="0"/>
      <w:divBdr>
        <w:top w:val="none" w:sz="0" w:space="0" w:color="auto"/>
        <w:left w:val="none" w:sz="0" w:space="0" w:color="auto"/>
        <w:bottom w:val="none" w:sz="0" w:space="0" w:color="auto"/>
        <w:right w:val="none" w:sz="0" w:space="0" w:color="auto"/>
      </w:divBdr>
    </w:div>
    <w:div w:id="559901622">
      <w:bodyDiv w:val="1"/>
      <w:marLeft w:val="0"/>
      <w:marRight w:val="0"/>
      <w:marTop w:val="0"/>
      <w:marBottom w:val="0"/>
      <w:divBdr>
        <w:top w:val="none" w:sz="0" w:space="0" w:color="auto"/>
        <w:left w:val="none" w:sz="0" w:space="0" w:color="auto"/>
        <w:bottom w:val="none" w:sz="0" w:space="0" w:color="auto"/>
        <w:right w:val="none" w:sz="0" w:space="0" w:color="auto"/>
      </w:divBdr>
    </w:div>
    <w:div w:id="572933689">
      <w:bodyDiv w:val="1"/>
      <w:marLeft w:val="0"/>
      <w:marRight w:val="0"/>
      <w:marTop w:val="0"/>
      <w:marBottom w:val="0"/>
      <w:divBdr>
        <w:top w:val="none" w:sz="0" w:space="0" w:color="auto"/>
        <w:left w:val="none" w:sz="0" w:space="0" w:color="auto"/>
        <w:bottom w:val="none" w:sz="0" w:space="0" w:color="auto"/>
        <w:right w:val="none" w:sz="0" w:space="0" w:color="auto"/>
      </w:divBdr>
    </w:div>
    <w:div w:id="589389467">
      <w:bodyDiv w:val="1"/>
      <w:marLeft w:val="0"/>
      <w:marRight w:val="0"/>
      <w:marTop w:val="0"/>
      <w:marBottom w:val="0"/>
      <w:divBdr>
        <w:top w:val="none" w:sz="0" w:space="0" w:color="auto"/>
        <w:left w:val="none" w:sz="0" w:space="0" w:color="auto"/>
        <w:bottom w:val="none" w:sz="0" w:space="0" w:color="auto"/>
        <w:right w:val="none" w:sz="0" w:space="0" w:color="auto"/>
      </w:divBdr>
    </w:div>
    <w:div w:id="593854314">
      <w:bodyDiv w:val="1"/>
      <w:marLeft w:val="0"/>
      <w:marRight w:val="0"/>
      <w:marTop w:val="0"/>
      <w:marBottom w:val="0"/>
      <w:divBdr>
        <w:top w:val="none" w:sz="0" w:space="0" w:color="auto"/>
        <w:left w:val="none" w:sz="0" w:space="0" w:color="auto"/>
        <w:bottom w:val="none" w:sz="0" w:space="0" w:color="auto"/>
        <w:right w:val="none" w:sz="0" w:space="0" w:color="auto"/>
      </w:divBdr>
    </w:div>
    <w:div w:id="607011631">
      <w:bodyDiv w:val="1"/>
      <w:marLeft w:val="0"/>
      <w:marRight w:val="0"/>
      <w:marTop w:val="0"/>
      <w:marBottom w:val="0"/>
      <w:divBdr>
        <w:top w:val="none" w:sz="0" w:space="0" w:color="auto"/>
        <w:left w:val="none" w:sz="0" w:space="0" w:color="auto"/>
        <w:bottom w:val="none" w:sz="0" w:space="0" w:color="auto"/>
        <w:right w:val="none" w:sz="0" w:space="0" w:color="auto"/>
      </w:divBdr>
    </w:div>
    <w:div w:id="619383696">
      <w:bodyDiv w:val="1"/>
      <w:marLeft w:val="0"/>
      <w:marRight w:val="0"/>
      <w:marTop w:val="0"/>
      <w:marBottom w:val="0"/>
      <w:divBdr>
        <w:top w:val="none" w:sz="0" w:space="0" w:color="auto"/>
        <w:left w:val="none" w:sz="0" w:space="0" w:color="auto"/>
        <w:bottom w:val="none" w:sz="0" w:space="0" w:color="auto"/>
        <w:right w:val="none" w:sz="0" w:space="0" w:color="auto"/>
      </w:divBdr>
    </w:div>
    <w:div w:id="638649420">
      <w:bodyDiv w:val="1"/>
      <w:marLeft w:val="0"/>
      <w:marRight w:val="0"/>
      <w:marTop w:val="0"/>
      <w:marBottom w:val="0"/>
      <w:divBdr>
        <w:top w:val="none" w:sz="0" w:space="0" w:color="auto"/>
        <w:left w:val="none" w:sz="0" w:space="0" w:color="auto"/>
        <w:bottom w:val="none" w:sz="0" w:space="0" w:color="auto"/>
        <w:right w:val="none" w:sz="0" w:space="0" w:color="auto"/>
      </w:divBdr>
    </w:div>
    <w:div w:id="672954537">
      <w:bodyDiv w:val="1"/>
      <w:marLeft w:val="0"/>
      <w:marRight w:val="0"/>
      <w:marTop w:val="0"/>
      <w:marBottom w:val="0"/>
      <w:divBdr>
        <w:top w:val="none" w:sz="0" w:space="0" w:color="auto"/>
        <w:left w:val="none" w:sz="0" w:space="0" w:color="auto"/>
        <w:bottom w:val="none" w:sz="0" w:space="0" w:color="auto"/>
        <w:right w:val="none" w:sz="0" w:space="0" w:color="auto"/>
      </w:divBdr>
    </w:div>
    <w:div w:id="683095843">
      <w:bodyDiv w:val="1"/>
      <w:marLeft w:val="0"/>
      <w:marRight w:val="0"/>
      <w:marTop w:val="0"/>
      <w:marBottom w:val="0"/>
      <w:divBdr>
        <w:top w:val="none" w:sz="0" w:space="0" w:color="auto"/>
        <w:left w:val="none" w:sz="0" w:space="0" w:color="auto"/>
        <w:bottom w:val="none" w:sz="0" w:space="0" w:color="auto"/>
        <w:right w:val="none" w:sz="0" w:space="0" w:color="auto"/>
      </w:divBdr>
    </w:div>
    <w:div w:id="686756156">
      <w:bodyDiv w:val="1"/>
      <w:marLeft w:val="0"/>
      <w:marRight w:val="0"/>
      <w:marTop w:val="0"/>
      <w:marBottom w:val="0"/>
      <w:divBdr>
        <w:top w:val="none" w:sz="0" w:space="0" w:color="auto"/>
        <w:left w:val="none" w:sz="0" w:space="0" w:color="auto"/>
        <w:bottom w:val="none" w:sz="0" w:space="0" w:color="auto"/>
        <w:right w:val="none" w:sz="0" w:space="0" w:color="auto"/>
      </w:divBdr>
    </w:div>
    <w:div w:id="691224766">
      <w:bodyDiv w:val="1"/>
      <w:marLeft w:val="0"/>
      <w:marRight w:val="0"/>
      <w:marTop w:val="0"/>
      <w:marBottom w:val="0"/>
      <w:divBdr>
        <w:top w:val="none" w:sz="0" w:space="0" w:color="auto"/>
        <w:left w:val="none" w:sz="0" w:space="0" w:color="auto"/>
        <w:bottom w:val="none" w:sz="0" w:space="0" w:color="auto"/>
        <w:right w:val="none" w:sz="0" w:space="0" w:color="auto"/>
      </w:divBdr>
    </w:div>
    <w:div w:id="698966046">
      <w:bodyDiv w:val="1"/>
      <w:marLeft w:val="0"/>
      <w:marRight w:val="0"/>
      <w:marTop w:val="0"/>
      <w:marBottom w:val="0"/>
      <w:divBdr>
        <w:top w:val="none" w:sz="0" w:space="0" w:color="auto"/>
        <w:left w:val="none" w:sz="0" w:space="0" w:color="auto"/>
        <w:bottom w:val="none" w:sz="0" w:space="0" w:color="auto"/>
        <w:right w:val="none" w:sz="0" w:space="0" w:color="auto"/>
      </w:divBdr>
    </w:div>
    <w:div w:id="702289156">
      <w:bodyDiv w:val="1"/>
      <w:marLeft w:val="0"/>
      <w:marRight w:val="0"/>
      <w:marTop w:val="0"/>
      <w:marBottom w:val="0"/>
      <w:divBdr>
        <w:top w:val="none" w:sz="0" w:space="0" w:color="auto"/>
        <w:left w:val="none" w:sz="0" w:space="0" w:color="auto"/>
        <w:bottom w:val="none" w:sz="0" w:space="0" w:color="auto"/>
        <w:right w:val="none" w:sz="0" w:space="0" w:color="auto"/>
      </w:divBdr>
    </w:div>
    <w:div w:id="707678322">
      <w:bodyDiv w:val="1"/>
      <w:marLeft w:val="0"/>
      <w:marRight w:val="0"/>
      <w:marTop w:val="0"/>
      <w:marBottom w:val="0"/>
      <w:divBdr>
        <w:top w:val="none" w:sz="0" w:space="0" w:color="auto"/>
        <w:left w:val="none" w:sz="0" w:space="0" w:color="auto"/>
        <w:bottom w:val="none" w:sz="0" w:space="0" w:color="auto"/>
        <w:right w:val="none" w:sz="0" w:space="0" w:color="auto"/>
      </w:divBdr>
    </w:div>
    <w:div w:id="708653571">
      <w:bodyDiv w:val="1"/>
      <w:marLeft w:val="0"/>
      <w:marRight w:val="0"/>
      <w:marTop w:val="0"/>
      <w:marBottom w:val="0"/>
      <w:divBdr>
        <w:top w:val="none" w:sz="0" w:space="0" w:color="auto"/>
        <w:left w:val="none" w:sz="0" w:space="0" w:color="auto"/>
        <w:bottom w:val="none" w:sz="0" w:space="0" w:color="auto"/>
        <w:right w:val="none" w:sz="0" w:space="0" w:color="auto"/>
      </w:divBdr>
    </w:div>
    <w:div w:id="745080531">
      <w:bodyDiv w:val="1"/>
      <w:marLeft w:val="0"/>
      <w:marRight w:val="0"/>
      <w:marTop w:val="0"/>
      <w:marBottom w:val="0"/>
      <w:divBdr>
        <w:top w:val="none" w:sz="0" w:space="0" w:color="auto"/>
        <w:left w:val="none" w:sz="0" w:space="0" w:color="auto"/>
        <w:bottom w:val="none" w:sz="0" w:space="0" w:color="auto"/>
        <w:right w:val="none" w:sz="0" w:space="0" w:color="auto"/>
      </w:divBdr>
    </w:div>
    <w:div w:id="750395060">
      <w:bodyDiv w:val="1"/>
      <w:marLeft w:val="0"/>
      <w:marRight w:val="0"/>
      <w:marTop w:val="0"/>
      <w:marBottom w:val="0"/>
      <w:divBdr>
        <w:top w:val="none" w:sz="0" w:space="0" w:color="auto"/>
        <w:left w:val="none" w:sz="0" w:space="0" w:color="auto"/>
        <w:bottom w:val="none" w:sz="0" w:space="0" w:color="auto"/>
        <w:right w:val="none" w:sz="0" w:space="0" w:color="auto"/>
      </w:divBdr>
    </w:div>
    <w:div w:id="828324211">
      <w:bodyDiv w:val="1"/>
      <w:marLeft w:val="0"/>
      <w:marRight w:val="0"/>
      <w:marTop w:val="0"/>
      <w:marBottom w:val="0"/>
      <w:divBdr>
        <w:top w:val="none" w:sz="0" w:space="0" w:color="auto"/>
        <w:left w:val="none" w:sz="0" w:space="0" w:color="auto"/>
        <w:bottom w:val="none" w:sz="0" w:space="0" w:color="auto"/>
        <w:right w:val="none" w:sz="0" w:space="0" w:color="auto"/>
      </w:divBdr>
    </w:div>
    <w:div w:id="941765417">
      <w:bodyDiv w:val="1"/>
      <w:marLeft w:val="0"/>
      <w:marRight w:val="0"/>
      <w:marTop w:val="0"/>
      <w:marBottom w:val="0"/>
      <w:divBdr>
        <w:top w:val="none" w:sz="0" w:space="0" w:color="auto"/>
        <w:left w:val="none" w:sz="0" w:space="0" w:color="auto"/>
        <w:bottom w:val="none" w:sz="0" w:space="0" w:color="auto"/>
        <w:right w:val="none" w:sz="0" w:space="0" w:color="auto"/>
      </w:divBdr>
    </w:div>
    <w:div w:id="948121639">
      <w:bodyDiv w:val="1"/>
      <w:marLeft w:val="0"/>
      <w:marRight w:val="0"/>
      <w:marTop w:val="0"/>
      <w:marBottom w:val="0"/>
      <w:divBdr>
        <w:top w:val="none" w:sz="0" w:space="0" w:color="auto"/>
        <w:left w:val="none" w:sz="0" w:space="0" w:color="auto"/>
        <w:bottom w:val="none" w:sz="0" w:space="0" w:color="auto"/>
        <w:right w:val="none" w:sz="0" w:space="0" w:color="auto"/>
      </w:divBdr>
    </w:div>
    <w:div w:id="994605341">
      <w:bodyDiv w:val="1"/>
      <w:marLeft w:val="0"/>
      <w:marRight w:val="0"/>
      <w:marTop w:val="0"/>
      <w:marBottom w:val="0"/>
      <w:divBdr>
        <w:top w:val="none" w:sz="0" w:space="0" w:color="auto"/>
        <w:left w:val="none" w:sz="0" w:space="0" w:color="auto"/>
        <w:bottom w:val="none" w:sz="0" w:space="0" w:color="auto"/>
        <w:right w:val="none" w:sz="0" w:space="0" w:color="auto"/>
      </w:divBdr>
    </w:div>
    <w:div w:id="996956945">
      <w:bodyDiv w:val="1"/>
      <w:marLeft w:val="0"/>
      <w:marRight w:val="0"/>
      <w:marTop w:val="0"/>
      <w:marBottom w:val="0"/>
      <w:divBdr>
        <w:top w:val="none" w:sz="0" w:space="0" w:color="auto"/>
        <w:left w:val="none" w:sz="0" w:space="0" w:color="auto"/>
        <w:bottom w:val="none" w:sz="0" w:space="0" w:color="auto"/>
        <w:right w:val="none" w:sz="0" w:space="0" w:color="auto"/>
      </w:divBdr>
    </w:div>
    <w:div w:id="1000621271">
      <w:bodyDiv w:val="1"/>
      <w:marLeft w:val="0"/>
      <w:marRight w:val="0"/>
      <w:marTop w:val="0"/>
      <w:marBottom w:val="0"/>
      <w:divBdr>
        <w:top w:val="none" w:sz="0" w:space="0" w:color="auto"/>
        <w:left w:val="none" w:sz="0" w:space="0" w:color="auto"/>
        <w:bottom w:val="none" w:sz="0" w:space="0" w:color="auto"/>
        <w:right w:val="none" w:sz="0" w:space="0" w:color="auto"/>
      </w:divBdr>
    </w:div>
    <w:div w:id="1007294806">
      <w:bodyDiv w:val="1"/>
      <w:marLeft w:val="0"/>
      <w:marRight w:val="0"/>
      <w:marTop w:val="0"/>
      <w:marBottom w:val="0"/>
      <w:divBdr>
        <w:top w:val="none" w:sz="0" w:space="0" w:color="auto"/>
        <w:left w:val="none" w:sz="0" w:space="0" w:color="auto"/>
        <w:bottom w:val="none" w:sz="0" w:space="0" w:color="auto"/>
        <w:right w:val="none" w:sz="0" w:space="0" w:color="auto"/>
      </w:divBdr>
    </w:div>
    <w:div w:id="1037390681">
      <w:bodyDiv w:val="1"/>
      <w:marLeft w:val="0"/>
      <w:marRight w:val="0"/>
      <w:marTop w:val="0"/>
      <w:marBottom w:val="0"/>
      <w:divBdr>
        <w:top w:val="none" w:sz="0" w:space="0" w:color="auto"/>
        <w:left w:val="none" w:sz="0" w:space="0" w:color="auto"/>
        <w:bottom w:val="none" w:sz="0" w:space="0" w:color="auto"/>
        <w:right w:val="none" w:sz="0" w:space="0" w:color="auto"/>
      </w:divBdr>
    </w:div>
    <w:div w:id="1065907755">
      <w:bodyDiv w:val="1"/>
      <w:marLeft w:val="0"/>
      <w:marRight w:val="0"/>
      <w:marTop w:val="0"/>
      <w:marBottom w:val="0"/>
      <w:divBdr>
        <w:top w:val="none" w:sz="0" w:space="0" w:color="auto"/>
        <w:left w:val="none" w:sz="0" w:space="0" w:color="auto"/>
        <w:bottom w:val="none" w:sz="0" w:space="0" w:color="auto"/>
        <w:right w:val="none" w:sz="0" w:space="0" w:color="auto"/>
      </w:divBdr>
    </w:div>
    <w:div w:id="1066029175">
      <w:bodyDiv w:val="1"/>
      <w:marLeft w:val="0"/>
      <w:marRight w:val="0"/>
      <w:marTop w:val="0"/>
      <w:marBottom w:val="0"/>
      <w:divBdr>
        <w:top w:val="none" w:sz="0" w:space="0" w:color="auto"/>
        <w:left w:val="none" w:sz="0" w:space="0" w:color="auto"/>
        <w:bottom w:val="none" w:sz="0" w:space="0" w:color="auto"/>
        <w:right w:val="none" w:sz="0" w:space="0" w:color="auto"/>
      </w:divBdr>
    </w:div>
    <w:div w:id="1066222889">
      <w:bodyDiv w:val="1"/>
      <w:marLeft w:val="0"/>
      <w:marRight w:val="0"/>
      <w:marTop w:val="0"/>
      <w:marBottom w:val="0"/>
      <w:divBdr>
        <w:top w:val="none" w:sz="0" w:space="0" w:color="auto"/>
        <w:left w:val="none" w:sz="0" w:space="0" w:color="auto"/>
        <w:bottom w:val="none" w:sz="0" w:space="0" w:color="auto"/>
        <w:right w:val="none" w:sz="0" w:space="0" w:color="auto"/>
      </w:divBdr>
    </w:div>
    <w:div w:id="1071736115">
      <w:bodyDiv w:val="1"/>
      <w:marLeft w:val="0"/>
      <w:marRight w:val="0"/>
      <w:marTop w:val="0"/>
      <w:marBottom w:val="0"/>
      <w:divBdr>
        <w:top w:val="none" w:sz="0" w:space="0" w:color="auto"/>
        <w:left w:val="none" w:sz="0" w:space="0" w:color="auto"/>
        <w:bottom w:val="none" w:sz="0" w:space="0" w:color="auto"/>
        <w:right w:val="none" w:sz="0" w:space="0" w:color="auto"/>
      </w:divBdr>
    </w:div>
    <w:div w:id="1072386798">
      <w:bodyDiv w:val="1"/>
      <w:marLeft w:val="0"/>
      <w:marRight w:val="0"/>
      <w:marTop w:val="0"/>
      <w:marBottom w:val="0"/>
      <w:divBdr>
        <w:top w:val="none" w:sz="0" w:space="0" w:color="auto"/>
        <w:left w:val="none" w:sz="0" w:space="0" w:color="auto"/>
        <w:bottom w:val="none" w:sz="0" w:space="0" w:color="auto"/>
        <w:right w:val="none" w:sz="0" w:space="0" w:color="auto"/>
      </w:divBdr>
    </w:div>
    <w:div w:id="1084297156">
      <w:bodyDiv w:val="1"/>
      <w:marLeft w:val="0"/>
      <w:marRight w:val="0"/>
      <w:marTop w:val="0"/>
      <w:marBottom w:val="0"/>
      <w:divBdr>
        <w:top w:val="none" w:sz="0" w:space="0" w:color="auto"/>
        <w:left w:val="none" w:sz="0" w:space="0" w:color="auto"/>
        <w:bottom w:val="none" w:sz="0" w:space="0" w:color="auto"/>
        <w:right w:val="none" w:sz="0" w:space="0" w:color="auto"/>
      </w:divBdr>
    </w:div>
    <w:div w:id="1089082030">
      <w:bodyDiv w:val="1"/>
      <w:marLeft w:val="0"/>
      <w:marRight w:val="0"/>
      <w:marTop w:val="0"/>
      <w:marBottom w:val="0"/>
      <w:divBdr>
        <w:top w:val="none" w:sz="0" w:space="0" w:color="auto"/>
        <w:left w:val="none" w:sz="0" w:space="0" w:color="auto"/>
        <w:bottom w:val="none" w:sz="0" w:space="0" w:color="auto"/>
        <w:right w:val="none" w:sz="0" w:space="0" w:color="auto"/>
      </w:divBdr>
    </w:div>
    <w:div w:id="1131098424">
      <w:bodyDiv w:val="1"/>
      <w:marLeft w:val="0"/>
      <w:marRight w:val="0"/>
      <w:marTop w:val="0"/>
      <w:marBottom w:val="0"/>
      <w:divBdr>
        <w:top w:val="none" w:sz="0" w:space="0" w:color="auto"/>
        <w:left w:val="none" w:sz="0" w:space="0" w:color="auto"/>
        <w:bottom w:val="none" w:sz="0" w:space="0" w:color="auto"/>
        <w:right w:val="none" w:sz="0" w:space="0" w:color="auto"/>
      </w:divBdr>
    </w:div>
    <w:div w:id="1151940915">
      <w:bodyDiv w:val="1"/>
      <w:marLeft w:val="0"/>
      <w:marRight w:val="0"/>
      <w:marTop w:val="0"/>
      <w:marBottom w:val="0"/>
      <w:divBdr>
        <w:top w:val="none" w:sz="0" w:space="0" w:color="auto"/>
        <w:left w:val="none" w:sz="0" w:space="0" w:color="auto"/>
        <w:bottom w:val="none" w:sz="0" w:space="0" w:color="auto"/>
        <w:right w:val="none" w:sz="0" w:space="0" w:color="auto"/>
      </w:divBdr>
    </w:div>
    <w:div w:id="1170096667">
      <w:bodyDiv w:val="1"/>
      <w:marLeft w:val="0"/>
      <w:marRight w:val="0"/>
      <w:marTop w:val="0"/>
      <w:marBottom w:val="0"/>
      <w:divBdr>
        <w:top w:val="none" w:sz="0" w:space="0" w:color="auto"/>
        <w:left w:val="none" w:sz="0" w:space="0" w:color="auto"/>
        <w:bottom w:val="none" w:sz="0" w:space="0" w:color="auto"/>
        <w:right w:val="none" w:sz="0" w:space="0" w:color="auto"/>
      </w:divBdr>
    </w:div>
    <w:div w:id="1170488268">
      <w:bodyDiv w:val="1"/>
      <w:marLeft w:val="0"/>
      <w:marRight w:val="0"/>
      <w:marTop w:val="0"/>
      <w:marBottom w:val="0"/>
      <w:divBdr>
        <w:top w:val="none" w:sz="0" w:space="0" w:color="auto"/>
        <w:left w:val="none" w:sz="0" w:space="0" w:color="auto"/>
        <w:bottom w:val="none" w:sz="0" w:space="0" w:color="auto"/>
        <w:right w:val="none" w:sz="0" w:space="0" w:color="auto"/>
      </w:divBdr>
    </w:div>
    <w:div w:id="1171914863">
      <w:bodyDiv w:val="1"/>
      <w:marLeft w:val="0"/>
      <w:marRight w:val="0"/>
      <w:marTop w:val="0"/>
      <w:marBottom w:val="0"/>
      <w:divBdr>
        <w:top w:val="none" w:sz="0" w:space="0" w:color="auto"/>
        <w:left w:val="none" w:sz="0" w:space="0" w:color="auto"/>
        <w:bottom w:val="none" w:sz="0" w:space="0" w:color="auto"/>
        <w:right w:val="none" w:sz="0" w:space="0" w:color="auto"/>
      </w:divBdr>
    </w:div>
    <w:div w:id="1224178798">
      <w:bodyDiv w:val="1"/>
      <w:marLeft w:val="0"/>
      <w:marRight w:val="0"/>
      <w:marTop w:val="0"/>
      <w:marBottom w:val="0"/>
      <w:divBdr>
        <w:top w:val="none" w:sz="0" w:space="0" w:color="auto"/>
        <w:left w:val="none" w:sz="0" w:space="0" w:color="auto"/>
        <w:bottom w:val="none" w:sz="0" w:space="0" w:color="auto"/>
        <w:right w:val="none" w:sz="0" w:space="0" w:color="auto"/>
      </w:divBdr>
    </w:div>
    <w:div w:id="1260259742">
      <w:bodyDiv w:val="1"/>
      <w:marLeft w:val="0"/>
      <w:marRight w:val="0"/>
      <w:marTop w:val="0"/>
      <w:marBottom w:val="0"/>
      <w:divBdr>
        <w:top w:val="none" w:sz="0" w:space="0" w:color="auto"/>
        <w:left w:val="none" w:sz="0" w:space="0" w:color="auto"/>
        <w:bottom w:val="none" w:sz="0" w:space="0" w:color="auto"/>
        <w:right w:val="none" w:sz="0" w:space="0" w:color="auto"/>
      </w:divBdr>
    </w:div>
    <w:div w:id="1288466829">
      <w:bodyDiv w:val="1"/>
      <w:marLeft w:val="0"/>
      <w:marRight w:val="0"/>
      <w:marTop w:val="0"/>
      <w:marBottom w:val="0"/>
      <w:divBdr>
        <w:top w:val="none" w:sz="0" w:space="0" w:color="auto"/>
        <w:left w:val="none" w:sz="0" w:space="0" w:color="auto"/>
        <w:bottom w:val="none" w:sz="0" w:space="0" w:color="auto"/>
        <w:right w:val="none" w:sz="0" w:space="0" w:color="auto"/>
      </w:divBdr>
    </w:div>
    <w:div w:id="1303850702">
      <w:bodyDiv w:val="1"/>
      <w:marLeft w:val="0"/>
      <w:marRight w:val="0"/>
      <w:marTop w:val="0"/>
      <w:marBottom w:val="0"/>
      <w:divBdr>
        <w:top w:val="none" w:sz="0" w:space="0" w:color="auto"/>
        <w:left w:val="none" w:sz="0" w:space="0" w:color="auto"/>
        <w:bottom w:val="none" w:sz="0" w:space="0" w:color="auto"/>
        <w:right w:val="none" w:sz="0" w:space="0" w:color="auto"/>
      </w:divBdr>
    </w:div>
    <w:div w:id="1307928533">
      <w:bodyDiv w:val="1"/>
      <w:marLeft w:val="0"/>
      <w:marRight w:val="0"/>
      <w:marTop w:val="0"/>
      <w:marBottom w:val="0"/>
      <w:divBdr>
        <w:top w:val="none" w:sz="0" w:space="0" w:color="auto"/>
        <w:left w:val="none" w:sz="0" w:space="0" w:color="auto"/>
        <w:bottom w:val="none" w:sz="0" w:space="0" w:color="auto"/>
        <w:right w:val="none" w:sz="0" w:space="0" w:color="auto"/>
      </w:divBdr>
    </w:div>
    <w:div w:id="1354762785">
      <w:bodyDiv w:val="1"/>
      <w:marLeft w:val="0"/>
      <w:marRight w:val="0"/>
      <w:marTop w:val="0"/>
      <w:marBottom w:val="0"/>
      <w:divBdr>
        <w:top w:val="none" w:sz="0" w:space="0" w:color="auto"/>
        <w:left w:val="none" w:sz="0" w:space="0" w:color="auto"/>
        <w:bottom w:val="none" w:sz="0" w:space="0" w:color="auto"/>
        <w:right w:val="none" w:sz="0" w:space="0" w:color="auto"/>
      </w:divBdr>
    </w:div>
    <w:div w:id="1355765984">
      <w:bodyDiv w:val="1"/>
      <w:marLeft w:val="0"/>
      <w:marRight w:val="0"/>
      <w:marTop w:val="0"/>
      <w:marBottom w:val="0"/>
      <w:divBdr>
        <w:top w:val="none" w:sz="0" w:space="0" w:color="auto"/>
        <w:left w:val="none" w:sz="0" w:space="0" w:color="auto"/>
        <w:bottom w:val="none" w:sz="0" w:space="0" w:color="auto"/>
        <w:right w:val="none" w:sz="0" w:space="0" w:color="auto"/>
      </w:divBdr>
    </w:div>
    <w:div w:id="1375425451">
      <w:bodyDiv w:val="1"/>
      <w:marLeft w:val="0"/>
      <w:marRight w:val="0"/>
      <w:marTop w:val="0"/>
      <w:marBottom w:val="0"/>
      <w:divBdr>
        <w:top w:val="none" w:sz="0" w:space="0" w:color="auto"/>
        <w:left w:val="none" w:sz="0" w:space="0" w:color="auto"/>
        <w:bottom w:val="none" w:sz="0" w:space="0" w:color="auto"/>
        <w:right w:val="none" w:sz="0" w:space="0" w:color="auto"/>
      </w:divBdr>
    </w:div>
    <w:div w:id="1377318220">
      <w:bodyDiv w:val="1"/>
      <w:marLeft w:val="0"/>
      <w:marRight w:val="0"/>
      <w:marTop w:val="0"/>
      <w:marBottom w:val="0"/>
      <w:divBdr>
        <w:top w:val="none" w:sz="0" w:space="0" w:color="auto"/>
        <w:left w:val="none" w:sz="0" w:space="0" w:color="auto"/>
        <w:bottom w:val="none" w:sz="0" w:space="0" w:color="auto"/>
        <w:right w:val="none" w:sz="0" w:space="0" w:color="auto"/>
      </w:divBdr>
    </w:div>
    <w:div w:id="1401557649">
      <w:bodyDiv w:val="1"/>
      <w:marLeft w:val="0"/>
      <w:marRight w:val="0"/>
      <w:marTop w:val="0"/>
      <w:marBottom w:val="0"/>
      <w:divBdr>
        <w:top w:val="none" w:sz="0" w:space="0" w:color="auto"/>
        <w:left w:val="none" w:sz="0" w:space="0" w:color="auto"/>
        <w:bottom w:val="none" w:sz="0" w:space="0" w:color="auto"/>
        <w:right w:val="none" w:sz="0" w:space="0" w:color="auto"/>
      </w:divBdr>
    </w:div>
    <w:div w:id="1437410563">
      <w:bodyDiv w:val="1"/>
      <w:marLeft w:val="0"/>
      <w:marRight w:val="0"/>
      <w:marTop w:val="0"/>
      <w:marBottom w:val="0"/>
      <w:divBdr>
        <w:top w:val="none" w:sz="0" w:space="0" w:color="auto"/>
        <w:left w:val="none" w:sz="0" w:space="0" w:color="auto"/>
        <w:bottom w:val="none" w:sz="0" w:space="0" w:color="auto"/>
        <w:right w:val="none" w:sz="0" w:space="0" w:color="auto"/>
      </w:divBdr>
    </w:div>
    <w:div w:id="1441681724">
      <w:bodyDiv w:val="1"/>
      <w:marLeft w:val="0"/>
      <w:marRight w:val="0"/>
      <w:marTop w:val="0"/>
      <w:marBottom w:val="0"/>
      <w:divBdr>
        <w:top w:val="none" w:sz="0" w:space="0" w:color="auto"/>
        <w:left w:val="none" w:sz="0" w:space="0" w:color="auto"/>
        <w:bottom w:val="none" w:sz="0" w:space="0" w:color="auto"/>
        <w:right w:val="none" w:sz="0" w:space="0" w:color="auto"/>
      </w:divBdr>
    </w:div>
    <w:div w:id="1448623885">
      <w:bodyDiv w:val="1"/>
      <w:marLeft w:val="0"/>
      <w:marRight w:val="0"/>
      <w:marTop w:val="0"/>
      <w:marBottom w:val="0"/>
      <w:divBdr>
        <w:top w:val="none" w:sz="0" w:space="0" w:color="auto"/>
        <w:left w:val="none" w:sz="0" w:space="0" w:color="auto"/>
        <w:bottom w:val="none" w:sz="0" w:space="0" w:color="auto"/>
        <w:right w:val="none" w:sz="0" w:space="0" w:color="auto"/>
      </w:divBdr>
    </w:div>
    <w:div w:id="1465463444">
      <w:bodyDiv w:val="1"/>
      <w:marLeft w:val="0"/>
      <w:marRight w:val="0"/>
      <w:marTop w:val="0"/>
      <w:marBottom w:val="0"/>
      <w:divBdr>
        <w:top w:val="none" w:sz="0" w:space="0" w:color="auto"/>
        <w:left w:val="none" w:sz="0" w:space="0" w:color="auto"/>
        <w:bottom w:val="none" w:sz="0" w:space="0" w:color="auto"/>
        <w:right w:val="none" w:sz="0" w:space="0" w:color="auto"/>
      </w:divBdr>
    </w:div>
    <w:div w:id="1466772681">
      <w:bodyDiv w:val="1"/>
      <w:marLeft w:val="0"/>
      <w:marRight w:val="0"/>
      <w:marTop w:val="0"/>
      <w:marBottom w:val="0"/>
      <w:divBdr>
        <w:top w:val="none" w:sz="0" w:space="0" w:color="auto"/>
        <w:left w:val="none" w:sz="0" w:space="0" w:color="auto"/>
        <w:bottom w:val="none" w:sz="0" w:space="0" w:color="auto"/>
        <w:right w:val="none" w:sz="0" w:space="0" w:color="auto"/>
      </w:divBdr>
    </w:div>
    <w:div w:id="1486579941">
      <w:bodyDiv w:val="1"/>
      <w:marLeft w:val="0"/>
      <w:marRight w:val="0"/>
      <w:marTop w:val="0"/>
      <w:marBottom w:val="0"/>
      <w:divBdr>
        <w:top w:val="none" w:sz="0" w:space="0" w:color="auto"/>
        <w:left w:val="none" w:sz="0" w:space="0" w:color="auto"/>
        <w:bottom w:val="none" w:sz="0" w:space="0" w:color="auto"/>
        <w:right w:val="none" w:sz="0" w:space="0" w:color="auto"/>
      </w:divBdr>
    </w:div>
    <w:div w:id="1510754095">
      <w:bodyDiv w:val="1"/>
      <w:marLeft w:val="0"/>
      <w:marRight w:val="0"/>
      <w:marTop w:val="0"/>
      <w:marBottom w:val="0"/>
      <w:divBdr>
        <w:top w:val="none" w:sz="0" w:space="0" w:color="auto"/>
        <w:left w:val="none" w:sz="0" w:space="0" w:color="auto"/>
        <w:bottom w:val="none" w:sz="0" w:space="0" w:color="auto"/>
        <w:right w:val="none" w:sz="0" w:space="0" w:color="auto"/>
      </w:divBdr>
    </w:div>
    <w:div w:id="1542983561">
      <w:bodyDiv w:val="1"/>
      <w:marLeft w:val="0"/>
      <w:marRight w:val="0"/>
      <w:marTop w:val="0"/>
      <w:marBottom w:val="0"/>
      <w:divBdr>
        <w:top w:val="none" w:sz="0" w:space="0" w:color="auto"/>
        <w:left w:val="none" w:sz="0" w:space="0" w:color="auto"/>
        <w:bottom w:val="none" w:sz="0" w:space="0" w:color="auto"/>
        <w:right w:val="none" w:sz="0" w:space="0" w:color="auto"/>
      </w:divBdr>
    </w:div>
    <w:div w:id="1565021751">
      <w:bodyDiv w:val="1"/>
      <w:marLeft w:val="0"/>
      <w:marRight w:val="0"/>
      <w:marTop w:val="0"/>
      <w:marBottom w:val="0"/>
      <w:divBdr>
        <w:top w:val="none" w:sz="0" w:space="0" w:color="auto"/>
        <w:left w:val="none" w:sz="0" w:space="0" w:color="auto"/>
        <w:bottom w:val="none" w:sz="0" w:space="0" w:color="auto"/>
        <w:right w:val="none" w:sz="0" w:space="0" w:color="auto"/>
      </w:divBdr>
    </w:div>
    <w:div w:id="1567112000">
      <w:bodyDiv w:val="1"/>
      <w:marLeft w:val="0"/>
      <w:marRight w:val="0"/>
      <w:marTop w:val="0"/>
      <w:marBottom w:val="0"/>
      <w:divBdr>
        <w:top w:val="none" w:sz="0" w:space="0" w:color="auto"/>
        <w:left w:val="none" w:sz="0" w:space="0" w:color="auto"/>
        <w:bottom w:val="none" w:sz="0" w:space="0" w:color="auto"/>
        <w:right w:val="none" w:sz="0" w:space="0" w:color="auto"/>
      </w:divBdr>
    </w:div>
    <w:div w:id="1586380288">
      <w:bodyDiv w:val="1"/>
      <w:marLeft w:val="0"/>
      <w:marRight w:val="0"/>
      <w:marTop w:val="0"/>
      <w:marBottom w:val="0"/>
      <w:divBdr>
        <w:top w:val="none" w:sz="0" w:space="0" w:color="auto"/>
        <w:left w:val="none" w:sz="0" w:space="0" w:color="auto"/>
        <w:bottom w:val="none" w:sz="0" w:space="0" w:color="auto"/>
        <w:right w:val="none" w:sz="0" w:space="0" w:color="auto"/>
      </w:divBdr>
    </w:div>
    <w:div w:id="1590969377">
      <w:bodyDiv w:val="1"/>
      <w:marLeft w:val="0"/>
      <w:marRight w:val="0"/>
      <w:marTop w:val="0"/>
      <w:marBottom w:val="0"/>
      <w:divBdr>
        <w:top w:val="none" w:sz="0" w:space="0" w:color="auto"/>
        <w:left w:val="none" w:sz="0" w:space="0" w:color="auto"/>
        <w:bottom w:val="none" w:sz="0" w:space="0" w:color="auto"/>
        <w:right w:val="none" w:sz="0" w:space="0" w:color="auto"/>
      </w:divBdr>
    </w:div>
    <w:div w:id="1597054798">
      <w:bodyDiv w:val="1"/>
      <w:marLeft w:val="0"/>
      <w:marRight w:val="0"/>
      <w:marTop w:val="0"/>
      <w:marBottom w:val="0"/>
      <w:divBdr>
        <w:top w:val="none" w:sz="0" w:space="0" w:color="auto"/>
        <w:left w:val="none" w:sz="0" w:space="0" w:color="auto"/>
        <w:bottom w:val="none" w:sz="0" w:space="0" w:color="auto"/>
        <w:right w:val="none" w:sz="0" w:space="0" w:color="auto"/>
      </w:divBdr>
    </w:div>
    <w:div w:id="1612855718">
      <w:bodyDiv w:val="1"/>
      <w:marLeft w:val="0"/>
      <w:marRight w:val="0"/>
      <w:marTop w:val="0"/>
      <w:marBottom w:val="0"/>
      <w:divBdr>
        <w:top w:val="none" w:sz="0" w:space="0" w:color="auto"/>
        <w:left w:val="none" w:sz="0" w:space="0" w:color="auto"/>
        <w:bottom w:val="none" w:sz="0" w:space="0" w:color="auto"/>
        <w:right w:val="none" w:sz="0" w:space="0" w:color="auto"/>
      </w:divBdr>
    </w:div>
    <w:div w:id="1625306324">
      <w:bodyDiv w:val="1"/>
      <w:marLeft w:val="0"/>
      <w:marRight w:val="0"/>
      <w:marTop w:val="0"/>
      <w:marBottom w:val="0"/>
      <w:divBdr>
        <w:top w:val="none" w:sz="0" w:space="0" w:color="auto"/>
        <w:left w:val="none" w:sz="0" w:space="0" w:color="auto"/>
        <w:bottom w:val="none" w:sz="0" w:space="0" w:color="auto"/>
        <w:right w:val="none" w:sz="0" w:space="0" w:color="auto"/>
      </w:divBdr>
    </w:div>
    <w:div w:id="1664039975">
      <w:bodyDiv w:val="1"/>
      <w:marLeft w:val="0"/>
      <w:marRight w:val="0"/>
      <w:marTop w:val="0"/>
      <w:marBottom w:val="0"/>
      <w:divBdr>
        <w:top w:val="none" w:sz="0" w:space="0" w:color="auto"/>
        <w:left w:val="none" w:sz="0" w:space="0" w:color="auto"/>
        <w:bottom w:val="none" w:sz="0" w:space="0" w:color="auto"/>
        <w:right w:val="none" w:sz="0" w:space="0" w:color="auto"/>
      </w:divBdr>
    </w:div>
    <w:div w:id="1679884472">
      <w:bodyDiv w:val="1"/>
      <w:marLeft w:val="0"/>
      <w:marRight w:val="0"/>
      <w:marTop w:val="0"/>
      <w:marBottom w:val="0"/>
      <w:divBdr>
        <w:top w:val="none" w:sz="0" w:space="0" w:color="auto"/>
        <w:left w:val="none" w:sz="0" w:space="0" w:color="auto"/>
        <w:bottom w:val="none" w:sz="0" w:space="0" w:color="auto"/>
        <w:right w:val="none" w:sz="0" w:space="0" w:color="auto"/>
      </w:divBdr>
    </w:div>
    <w:div w:id="1712225291">
      <w:bodyDiv w:val="1"/>
      <w:marLeft w:val="0"/>
      <w:marRight w:val="0"/>
      <w:marTop w:val="0"/>
      <w:marBottom w:val="0"/>
      <w:divBdr>
        <w:top w:val="none" w:sz="0" w:space="0" w:color="auto"/>
        <w:left w:val="none" w:sz="0" w:space="0" w:color="auto"/>
        <w:bottom w:val="none" w:sz="0" w:space="0" w:color="auto"/>
        <w:right w:val="none" w:sz="0" w:space="0" w:color="auto"/>
      </w:divBdr>
    </w:div>
    <w:div w:id="1750425612">
      <w:bodyDiv w:val="1"/>
      <w:marLeft w:val="0"/>
      <w:marRight w:val="0"/>
      <w:marTop w:val="0"/>
      <w:marBottom w:val="0"/>
      <w:divBdr>
        <w:top w:val="none" w:sz="0" w:space="0" w:color="auto"/>
        <w:left w:val="none" w:sz="0" w:space="0" w:color="auto"/>
        <w:bottom w:val="none" w:sz="0" w:space="0" w:color="auto"/>
        <w:right w:val="none" w:sz="0" w:space="0" w:color="auto"/>
      </w:divBdr>
    </w:div>
    <w:div w:id="1767462109">
      <w:bodyDiv w:val="1"/>
      <w:marLeft w:val="0"/>
      <w:marRight w:val="0"/>
      <w:marTop w:val="0"/>
      <w:marBottom w:val="0"/>
      <w:divBdr>
        <w:top w:val="none" w:sz="0" w:space="0" w:color="auto"/>
        <w:left w:val="none" w:sz="0" w:space="0" w:color="auto"/>
        <w:bottom w:val="none" w:sz="0" w:space="0" w:color="auto"/>
        <w:right w:val="none" w:sz="0" w:space="0" w:color="auto"/>
      </w:divBdr>
    </w:div>
    <w:div w:id="1769234114">
      <w:bodyDiv w:val="1"/>
      <w:marLeft w:val="0"/>
      <w:marRight w:val="0"/>
      <w:marTop w:val="0"/>
      <w:marBottom w:val="0"/>
      <w:divBdr>
        <w:top w:val="none" w:sz="0" w:space="0" w:color="auto"/>
        <w:left w:val="none" w:sz="0" w:space="0" w:color="auto"/>
        <w:bottom w:val="none" w:sz="0" w:space="0" w:color="auto"/>
        <w:right w:val="none" w:sz="0" w:space="0" w:color="auto"/>
      </w:divBdr>
    </w:div>
    <w:div w:id="1788743837">
      <w:bodyDiv w:val="1"/>
      <w:marLeft w:val="0"/>
      <w:marRight w:val="0"/>
      <w:marTop w:val="0"/>
      <w:marBottom w:val="0"/>
      <w:divBdr>
        <w:top w:val="none" w:sz="0" w:space="0" w:color="auto"/>
        <w:left w:val="none" w:sz="0" w:space="0" w:color="auto"/>
        <w:bottom w:val="none" w:sz="0" w:space="0" w:color="auto"/>
        <w:right w:val="none" w:sz="0" w:space="0" w:color="auto"/>
      </w:divBdr>
    </w:div>
    <w:div w:id="1789620110">
      <w:bodyDiv w:val="1"/>
      <w:marLeft w:val="0"/>
      <w:marRight w:val="0"/>
      <w:marTop w:val="0"/>
      <w:marBottom w:val="0"/>
      <w:divBdr>
        <w:top w:val="none" w:sz="0" w:space="0" w:color="auto"/>
        <w:left w:val="none" w:sz="0" w:space="0" w:color="auto"/>
        <w:bottom w:val="none" w:sz="0" w:space="0" w:color="auto"/>
        <w:right w:val="none" w:sz="0" w:space="0" w:color="auto"/>
      </w:divBdr>
    </w:div>
    <w:div w:id="1831216727">
      <w:bodyDiv w:val="1"/>
      <w:marLeft w:val="0"/>
      <w:marRight w:val="0"/>
      <w:marTop w:val="0"/>
      <w:marBottom w:val="0"/>
      <w:divBdr>
        <w:top w:val="none" w:sz="0" w:space="0" w:color="auto"/>
        <w:left w:val="none" w:sz="0" w:space="0" w:color="auto"/>
        <w:bottom w:val="none" w:sz="0" w:space="0" w:color="auto"/>
        <w:right w:val="none" w:sz="0" w:space="0" w:color="auto"/>
      </w:divBdr>
    </w:div>
    <w:div w:id="1848596819">
      <w:bodyDiv w:val="1"/>
      <w:marLeft w:val="0"/>
      <w:marRight w:val="0"/>
      <w:marTop w:val="0"/>
      <w:marBottom w:val="0"/>
      <w:divBdr>
        <w:top w:val="none" w:sz="0" w:space="0" w:color="auto"/>
        <w:left w:val="none" w:sz="0" w:space="0" w:color="auto"/>
        <w:bottom w:val="none" w:sz="0" w:space="0" w:color="auto"/>
        <w:right w:val="none" w:sz="0" w:space="0" w:color="auto"/>
      </w:divBdr>
    </w:div>
    <w:div w:id="1861624182">
      <w:bodyDiv w:val="1"/>
      <w:marLeft w:val="0"/>
      <w:marRight w:val="0"/>
      <w:marTop w:val="0"/>
      <w:marBottom w:val="0"/>
      <w:divBdr>
        <w:top w:val="none" w:sz="0" w:space="0" w:color="auto"/>
        <w:left w:val="none" w:sz="0" w:space="0" w:color="auto"/>
        <w:bottom w:val="none" w:sz="0" w:space="0" w:color="auto"/>
        <w:right w:val="none" w:sz="0" w:space="0" w:color="auto"/>
      </w:divBdr>
    </w:div>
    <w:div w:id="1869641990">
      <w:bodyDiv w:val="1"/>
      <w:marLeft w:val="0"/>
      <w:marRight w:val="0"/>
      <w:marTop w:val="0"/>
      <w:marBottom w:val="0"/>
      <w:divBdr>
        <w:top w:val="none" w:sz="0" w:space="0" w:color="auto"/>
        <w:left w:val="none" w:sz="0" w:space="0" w:color="auto"/>
        <w:bottom w:val="none" w:sz="0" w:space="0" w:color="auto"/>
        <w:right w:val="none" w:sz="0" w:space="0" w:color="auto"/>
      </w:divBdr>
    </w:div>
    <w:div w:id="1877043459">
      <w:bodyDiv w:val="1"/>
      <w:marLeft w:val="0"/>
      <w:marRight w:val="0"/>
      <w:marTop w:val="0"/>
      <w:marBottom w:val="0"/>
      <w:divBdr>
        <w:top w:val="none" w:sz="0" w:space="0" w:color="auto"/>
        <w:left w:val="none" w:sz="0" w:space="0" w:color="auto"/>
        <w:bottom w:val="none" w:sz="0" w:space="0" w:color="auto"/>
        <w:right w:val="none" w:sz="0" w:space="0" w:color="auto"/>
      </w:divBdr>
    </w:div>
    <w:div w:id="1987542290">
      <w:bodyDiv w:val="1"/>
      <w:marLeft w:val="0"/>
      <w:marRight w:val="0"/>
      <w:marTop w:val="0"/>
      <w:marBottom w:val="0"/>
      <w:divBdr>
        <w:top w:val="none" w:sz="0" w:space="0" w:color="auto"/>
        <w:left w:val="none" w:sz="0" w:space="0" w:color="auto"/>
        <w:bottom w:val="none" w:sz="0" w:space="0" w:color="auto"/>
        <w:right w:val="none" w:sz="0" w:space="0" w:color="auto"/>
      </w:divBdr>
    </w:div>
    <w:div w:id="2007202532">
      <w:bodyDiv w:val="1"/>
      <w:marLeft w:val="0"/>
      <w:marRight w:val="0"/>
      <w:marTop w:val="0"/>
      <w:marBottom w:val="0"/>
      <w:divBdr>
        <w:top w:val="none" w:sz="0" w:space="0" w:color="auto"/>
        <w:left w:val="none" w:sz="0" w:space="0" w:color="auto"/>
        <w:bottom w:val="none" w:sz="0" w:space="0" w:color="auto"/>
        <w:right w:val="none" w:sz="0" w:space="0" w:color="auto"/>
      </w:divBdr>
    </w:div>
    <w:div w:id="2008361920">
      <w:bodyDiv w:val="1"/>
      <w:marLeft w:val="0"/>
      <w:marRight w:val="0"/>
      <w:marTop w:val="0"/>
      <w:marBottom w:val="0"/>
      <w:divBdr>
        <w:top w:val="none" w:sz="0" w:space="0" w:color="auto"/>
        <w:left w:val="none" w:sz="0" w:space="0" w:color="auto"/>
        <w:bottom w:val="none" w:sz="0" w:space="0" w:color="auto"/>
        <w:right w:val="none" w:sz="0" w:space="0" w:color="auto"/>
      </w:divBdr>
    </w:div>
    <w:div w:id="2034794148">
      <w:bodyDiv w:val="1"/>
      <w:marLeft w:val="0"/>
      <w:marRight w:val="0"/>
      <w:marTop w:val="0"/>
      <w:marBottom w:val="0"/>
      <w:divBdr>
        <w:top w:val="none" w:sz="0" w:space="0" w:color="auto"/>
        <w:left w:val="none" w:sz="0" w:space="0" w:color="auto"/>
        <w:bottom w:val="none" w:sz="0" w:space="0" w:color="auto"/>
        <w:right w:val="none" w:sz="0" w:space="0" w:color="auto"/>
      </w:divBdr>
    </w:div>
    <w:div w:id="2035114414">
      <w:bodyDiv w:val="1"/>
      <w:marLeft w:val="0"/>
      <w:marRight w:val="0"/>
      <w:marTop w:val="0"/>
      <w:marBottom w:val="0"/>
      <w:divBdr>
        <w:top w:val="none" w:sz="0" w:space="0" w:color="auto"/>
        <w:left w:val="none" w:sz="0" w:space="0" w:color="auto"/>
        <w:bottom w:val="none" w:sz="0" w:space="0" w:color="auto"/>
        <w:right w:val="none" w:sz="0" w:space="0" w:color="auto"/>
      </w:divBdr>
    </w:div>
    <w:div w:id="2045594295">
      <w:bodyDiv w:val="1"/>
      <w:marLeft w:val="0"/>
      <w:marRight w:val="0"/>
      <w:marTop w:val="0"/>
      <w:marBottom w:val="0"/>
      <w:divBdr>
        <w:top w:val="none" w:sz="0" w:space="0" w:color="auto"/>
        <w:left w:val="none" w:sz="0" w:space="0" w:color="auto"/>
        <w:bottom w:val="none" w:sz="0" w:space="0" w:color="auto"/>
        <w:right w:val="none" w:sz="0" w:space="0" w:color="auto"/>
      </w:divBdr>
    </w:div>
    <w:div w:id="2067139849">
      <w:bodyDiv w:val="1"/>
      <w:marLeft w:val="0"/>
      <w:marRight w:val="0"/>
      <w:marTop w:val="0"/>
      <w:marBottom w:val="0"/>
      <w:divBdr>
        <w:top w:val="none" w:sz="0" w:space="0" w:color="auto"/>
        <w:left w:val="none" w:sz="0" w:space="0" w:color="auto"/>
        <w:bottom w:val="none" w:sz="0" w:space="0" w:color="auto"/>
        <w:right w:val="none" w:sz="0" w:space="0" w:color="auto"/>
      </w:divBdr>
    </w:div>
    <w:div w:id="2102410937">
      <w:bodyDiv w:val="1"/>
      <w:marLeft w:val="0"/>
      <w:marRight w:val="0"/>
      <w:marTop w:val="0"/>
      <w:marBottom w:val="0"/>
      <w:divBdr>
        <w:top w:val="none" w:sz="0" w:space="0" w:color="auto"/>
        <w:left w:val="none" w:sz="0" w:space="0" w:color="auto"/>
        <w:bottom w:val="none" w:sz="0" w:space="0" w:color="auto"/>
        <w:right w:val="none" w:sz="0" w:space="0" w:color="auto"/>
      </w:divBdr>
    </w:div>
    <w:div w:id="2108574625">
      <w:bodyDiv w:val="1"/>
      <w:marLeft w:val="0"/>
      <w:marRight w:val="0"/>
      <w:marTop w:val="0"/>
      <w:marBottom w:val="0"/>
      <w:divBdr>
        <w:top w:val="none" w:sz="0" w:space="0" w:color="auto"/>
        <w:left w:val="none" w:sz="0" w:space="0" w:color="auto"/>
        <w:bottom w:val="none" w:sz="0" w:space="0" w:color="auto"/>
        <w:right w:val="none" w:sz="0" w:space="0" w:color="auto"/>
      </w:divBdr>
    </w:div>
    <w:div w:id="2111005560">
      <w:bodyDiv w:val="1"/>
      <w:marLeft w:val="0"/>
      <w:marRight w:val="0"/>
      <w:marTop w:val="0"/>
      <w:marBottom w:val="0"/>
      <w:divBdr>
        <w:top w:val="none" w:sz="0" w:space="0" w:color="auto"/>
        <w:left w:val="none" w:sz="0" w:space="0" w:color="auto"/>
        <w:bottom w:val="none" w:sz="0" w:space="0" w:color="auto"/>
        <w:right w:val="none" w:sz="0" w:space="0" w:color="auto"/>
      </w:divBdr>
    </w:div>
    <w:div w:id="2136561346">
      <w:bodyDiv w:val="1"/>
      <w:marLeft w:val="0"/>
      <w:marRight w:val="0"/>
      <w:marTop w:val="0"/>
      <w:marBottom w:val="0"/>
      <w:divBdr>
        <w:top w:val="none" w:sz="0" w:space="0" w:color="auto"/>
        <w:left w:val="none" w:sz="0" w:space="0" w:color="auto"/>
        <w:bottom w:val="none" w:sz="0" w:space="0" w:color="auto"/>
        <w:right w:val="none" w:sz="0" w:space="0" w:color="auto"/>
      </w:divBdr>
    </w:div>
    <w:div w:id="2142844988">
      <w:bodyDiv w:val="1"/>
      <w:marLeft w:val="0"/>
      <w:marRight w:val="0"/>
      <w:marTop w:val="0"/>
      <w:marBottom w:val="0"/>
      <w:divBdr>
        <w:top w:val="none" w:sz="0" w:space="0" w:color="auto"/>
        <w:left w:val="none" w:sz="0" w:space="0" w:color="auto"/>
        <w:bottom w:val="none" w:sz="0" w:space="0" w:color="auto"/>
        <w:right w:val="none" w:sz="0" w:space="0" w:color="auto"/>
      </w:divBdr>
    </w:div>
    <w:div w:id="214430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icholecowles@westernexploration.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dmarud@westernexploration.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sedarplus.ca"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edarplus.ca"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4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F9644D-A55F-4A26-8508-0EED45A59FA2}">
  <we:reference id="40b16dfe-5837-4c32-bc63-1eca60e7b822" version="1.0.0.2"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6628787-e27f-4354-b8b4-c8311110b11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4C251D1F039C458CD08D8BBC645706" ma:contentTypeVersion="18" ma:contentTypeDescription="Create a new document." ma:contentTypeScope="" ma:versionID="e30e929d217fb465f7ad38baf93005cb">
  <xsd:schema xmlns:xsd="http://www.w3.org/2001/XMLSchema" xmlns:xs="http://www.w3.org/2001/XMLSchema" xmlns:p="http://schemas.microsoft.com/office/2006/metadata/properties" xmlns:ns3="e6628787-e27f-4354-b8b4-c8311110b111" xmlns:ns4="679aa2d7-17a6-42f5-9068-39ab050a6d19" targetNamespace="http://schemas.microsoft.com/office/2006/metadata/properties" ma:root="true" ma:fieldsID="437689ec4ca4744a0fbafbd57a534dc3" ns3:_="" ns4:_="">
    <xsd:import namespace="e6628787-e27f-4354-b8b4-c8311110b111"/>
    <xsd:import namespace="679aa2d7-17a6-42f5-9068-39ab050a6d1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DateTaken"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628787-e27f-4354-b8b4-c8311110b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aa2d7-17a6-42f5-9068-39ab050a6d1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44E6-6FF8-4E88-B90D-33AABFEA1009}">
  <ds:schemaRefs>
    <ds:schemaRef ds:uri="http://schemas.microsoft.com/office/2006/metadata/properties"/>
    <ds:schemaRef ds:uri="http://schemas.microsoft.com/office/infopath/2007/PartnerControls"/>
    <ds:schemaRef ds:uri="e6628787-e27f-4354-b8b4-c8311110b111"/>
  </ds:schemaRefs>
</ds:datastoreItem>
</file>

<file path=customXml/itemProps2.xml><?xml version="1.0" encoding="utf-8"?>
<ds:datastoreItem xmlns:ds="http://schemas.openxmlformats.org/officeDocument/2006/customXml" ds:itemID="{41928F14-A825-42C5-89FA-951A232B4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628787-e27f-4354-b8b4-c8311110b111"/>
    <ds:schemaRef ds:uri="679aa2d7-17a6-42f5-9068-39ab050a6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DF915D-97A6-4C26-A72C-5F0290F83F3B}">
  <ds:schemaRefs>
    <ds:schemaRef ds:uri="http://schemas.microsoft.com/sharepoint/v3/contenttype/forms"/>
  </ds:schemaRefs>
</ds:datastoreItem>
</file>

<file path=customXml/itemProps4.xml><?xml version="1.0" encoding="utf-8"?>
<ds:datastoreItem xmlns:ds="http://schemas.openxmlformats.org/officeDocument/2006/customXml" ds:itemID="{3F3E6B47-7648-416C-9015-D5995FF0F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2034</Words>
  <Characters>11596</Characters>
  <Application>Microsoft Office Word</Application>
  <DocSecurity>0</DocSecurity>
  <Lines>96</Lines>
  <Paragraphs>27</Paragraphs>
  <ScaleCrop>false</ScaleCrop>
  <Company> </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Darcy Marud</cp:lastModifiedBy>
  <cp:revision>3</cp:revision>
  <cp:lastPrinted>1900-01-01T08:00:00Z</cp:lastPrinted>
  <dcterms:created xsi:type="dcterms:W3CDTF">1900-01-01T08:00:00Z</dcterms:created>
  <dcterms:modified xsi:type="dcterms:W3CDTF">2026-10-28T16:31:00Z</dcterms:modified>
</cp:coreProperties>
</file>